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E8442C" w14:paraId="6C971669" wp14:textId="43E29070">
      <w:pPr>
        <w:spacing w:line="240" w:lineRule="exact"/>
        <w:jc w:val="center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Community focus group guidelines </w:t>
      </w:r>
    </w:p>
    <w:p xmlns:wp14="http://schemas.microsoft.com/office/word/2010/wordml" w:rsidP="25E8442C" w14:paraId="7DD12510" wp14:textId="69EA517A">
      <w:pPr>
        <w:spacing w:line="240" w:lineRule="exact"/>
        <w:jc w:val="center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The focus group guidance below was adapted from Red Cross Red Crescent Climate Centre (2018), Monitoring and Evaluation reference manual.</w:t>
      </w:r>
    </w:p>
    <w:p xmlns:wp14="http://schemas.microsoft.com/office/word/2010/wordml" w:rsidP="25E8442C" w14:paraId="397C23B1" wp14:textId="6C8A6D9E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Resources needed:</w:t>
      </w:r>
    </w:p>
    <w:p xmlns:wp14="http://schemas.microsoft.com/office/word/2010/wordml" w:rsidP="25E8442C" w14:paraId="5A06A2FB" wp14:textId="32995557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2 moderators (1 facilitator, 1 note-taker)</w:t>
      </w:r>
    </w:p>
    <w:p xmlns:wp14="http://schemas.microsoft.com/office/word/2010/wordml" w:rsidP="25E8442C" w14:paraId="33728466" wp14:textId="6DA524A8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Audio recorder (tape or digital; can be a smartphone)</w:t>
      </w:r>
    </w:p>
    <w:p xmlns:wp14="http://schemas.microsoft.com/office/word/2010/wordml" w:rsidP="25E8442C" w14:paraId="22599CF2" wp14:textId="6E95EAE0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Notepads, pens for note-taker </w:t>
      </w:r>
    </w:p>
    <w:p xmlns:wp14="http://schemas.microsoft.com/office/word/2010/wordml" w:rsidP="25E8442C" w14:paraId="004E9822" wp14:textId="7633993F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25EA35E1" wp14:textId="0B8EF0C7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Moderators:</w:t>
      </w:r>
    </w:p>
    <w:p xmlns:wp14="http://schemas.microsoft.com/office/word/2010/wordml" w:rsidP="25E8442C" w14:paraId="3BC328A6" wp14:textId="25735B9D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The ideal focus group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facilitator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has the following traits:</w:t>
      </w:r>
    </w:p>
    <w:p xmlns:wp14="http://schemas.microsoft.com/office/word/2010/wordml" w:rsidP="25E8442C" w14:paraId="27DB9ED8" wp14:textId="5EFEAFE5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Can listen attentively with sensitivity and empathy</w:t>
      </w:r>
    </w:p>
    <w:p xmlns:wp14="http://schemas.microsoft.com/office/word/2010/wordml" w:rsidP="25E8442C" w14:paraId="42BC9030" wp14:textId="24BE9BF0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Can listen and think at the same time</w:t>
      </w:r>
    </w:p>
    <w:p xmlns:wp14="http://schemas.microsoft.com/office/word/2010/wordml" w:rsidP="25E8442C" w14:paraId="235399A3" wp14:textId="69CFB8D5">
      <w:pPr>
        <w:pStyle w:val="Normal"/>
        <w:spacing w:line="276" w:lineRule="auto"/>
        <w:ind w:left="36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bookmarkStart w:name="_Int_iNCz9SAz" w:id="1167709202"/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Believes that all group participants have something to offer no matter what their education, experience, or background</w:t>
      </w:r>
      <w:bookmarkEnd w:id="1167709202"/>
    </w:p>
    <w:p xmlns:wp14="http://schemas.microsoft.com/office/word/2010/wordml" w:rsidP="25E8442C" w14:paraId="259F984C" wp14:textId="56391B69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Has adequate knowledge of the topic</w:t>
      </w:r>
    </w:p>
    <w:p xmlns:wp14="http://schemas.microsoft.com/office/word/2010/wordml" w:rsidP="25E8442C" w14:paraId="6C9F356D" wp14:textId="158ED907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Can keep personal views and ego out of the facilitation</w:t>
      </w:r>
    </w:p>
    <w:p xmlns:wp14="http://schemas.microsoft.com/office/word/2010/wordml" w:rsidP="25E8442C" w14:paraId="325589BB" wp14:textId="56AC60EB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Is someone the group can relate to but also give authority to </w:t>
      </w:r>
    </w:p>
    <w:p xmlns:wp14="http://schemas.microsoft.com/office/word/2010/wordml" w:rsidP="25E8442C" w14:paraId="6889B614" wp14:textId="7883E27C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Can appropriately manage challenging group dynamics</w:t>
      </w:r>
    </w:p>
    <w:p xmlns:wp14="http://schemas.microsoft.com/office/word/2010/wordml" w:rsidP="25E8442C" w14:paraId="0F2EB88C" wp14:textId="2C146F63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06FF6062" wp14:textId="57C3B3E8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note-taker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must be able to do the following:</w:t>
      </w:r>
    </w:p>
    <w:p xmlns:wp14="http://schemas.microsoft.com/office/word/2010/wordml" w:rsidP="25E8442C" w14:paraId="154EC70A" wp14:textId="479F539A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Set up a tape recorder and check that it is recording well (if applicable)</w:t>
      </w:r>
    </w:p>
    <w:p xmlns:wp14="http://schemas.microsoft.com/office/word/2010/wordml" w:rsidP="25E8442C" w14:paraId="700775C9" wp14:textId="4C027183">
      <w:pPr>
        <w:pStyle w:val="Normal"/>
        <w:spacing w:line="276" w:lineRule="auto"/>
        <w:ind w:left="36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bookmarkStart w:name="_Int_MRPcVyt3" w:id="911332925"/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Run a tape recorder during the session (if applicable)</w:t>
      </w:r>
      <w:bookmarkEnd w:id="911332925"/>
    </w:p>
    <w:p xmlns:wp14="http://schemas.microsoft.com/office/word/2010/wordml" w:rsidP="25E8442C" w14:paraId="094B45C7" wp14:textId="43D170CE">
      <w:pPr>
        <w:pStyle w:val="Normal"/>
        <w:spacing w:line="276" w:lineRule="auto"/>
        <w:ind w:left="36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bookmarkStart w:name="_Int_fwHJHzlP" w:id="430025621"/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Take notes; this is very important in case the recorder fails or the tape is inaudible (which is often the case because some participants speak very quietly)</w:t>
      </w:r>
      <w:bookmarkEnd w:id="430025621"/>
    </w:p>
    <w:p xmlns:wp14="http://schemas.microsoft.com/office/word/2010/wordml" w:rsidP="25E8442C" w14:paraId="681C9FA1" wp14:textId="36F8206E">
      <w:pPr>
        <w:pStyle w:val="Normal"/>
        <w:spacing w:line="276" w:lineRule="auto"/>
        <w:ind w:left="36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bookmarkStart w:name="_Int_DnvQCZUk" w:id="396794032"/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Note/record body language or other subtle but relevant clues</w:t>
      </w:r>
      <w:bookmarkEnd w:id="396794032"/>
    </w:p>
    <w:p xmlns:wp14="http://schemas.microsoft.com/office/word/2010/wordml" w:rsidP="25E8442C" w14:paraId="742C7AF6" wp14:textId="13AFBF78">
      <w:pPr>
        <w:pStyle w:val="Normal"/>
        <w:spacing w:line="276" w:lineRule="auto"/>
        <w:ind w:left="360" w:hanging="360"/>
        <w:rPr>
          <w:rFonts w:ascii="Arial" w:hAnsi="Arial" w:eastAsia="Arial" w:cs="Arial"/>
          <w:noProof w:val="0"/>
          <w:sz w:val="22"/>
          <w:szCs w:val="22"/>
          <w:lang w:val="en-US"/>
        </w:rPr>
      </w:pPr>
      <w:bookmarkStart w:name="_Int_4vRjzLUG" w:id="201489719"/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Allow the facilitator to focus on moderating the group and do all the talking during the discussion</w:t>
      </w:r>
      <w:bookmarkEnd w:id="201489719"/>
    </w:p>
    <w:p xmlns:wp14="http://schemas.microsoft.com/office/word/2010/wordml" w:rsidP="25E8442C" w14:paraId="6B06FC7B" wp14:textId="56763A28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768E0701" wp14:textId="4E59716D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Participants:</w:t>
      </w:r>
    </w:p>
    <w:p xmlns:wp14="http://schemas.microsoft.com/office/word/2010/wordml" w:rsidP="25E8442C" w14:paraId="1D8D3DC8" wp14:textId="1ECE5EE3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In each community (FbF intervention 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and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comparison), 3 FGDs should be organized:</w:t>
      </w:r>
    </w:p>
    <w:p xmlns:wp14="http://schemas.microsoft.com/office/word/2010/wordml" w:rsidP="25E8442C" w14:paraId="609008F1" wp14:textId="1E0CD10D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63933CCE" wp14:textId="068D8021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A discussion group should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not exceed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maximum of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10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participants.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Bystanders should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not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be present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meaning the group should have a quiet space to discuss undisturbed among themselves.</w:t>
      </w:r>
    </w:p>
    <w:p xmlns:wp14="http://schemas.microsoft.com/office/word/2010/wordml" w:rsidP="25E8442C" w14:paraId="4F6A7FDB" wp14:textId="586F7AA2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Group composition:</w:t>
      </w:r>
    </w:p>
    <w:p xmlns:wp14="http://schemas.microsoft.com/office/word/2010/wordml" w:rsidP="25E8442C" w14:paraId="310E2941" wp14:textId="1A1F20D1">
      <w:pPr>
        <w:spacing w:line="240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Discussion groups should be demographically </w:t>
      </w: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homogeneous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: FGD participants usually feel most comfortable sharing their views if they speak among peers. This means </w:t>
      </w:r>
      <w:r w:rsidRPr="25E8442C" w:rsidR="415A004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participants should have similar expertise and standing (</w:t>
      </w:r>
      <w:proofErr w:type="gramStart"/>
      <w:r w:rsidRPr="25E8442C" w:rsidR="415A004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e.g.</w:t>
      </w:r>
      <w:proofErr w:type="gramEnd"/>
      <w:r w:rsidRPr="25E8442C" w:rsidR="415A004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do not put management with employees, doctors with nurses etc.). 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30D54AA1" wp14:textId="16582C0D">
      <w:pPr>
        <w:spacing w:line="240" w:lineRule="exact"/>
        <w:jc w:val="center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ADDITIONAL TIPS FOR THE FGD FACILITATOR</w:t>
      </w:r>
    </w:p>
    <w:p xmlns:wp14="http://schemas.microsoft.com/office/word/2010/wordml" w:rsidP="25E8442C" w14:paraId="262B3564" wp14:textId="3A92B735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Keep time: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focus group moderator has a responsibility to adequately cover all prepared questions within the time allotted. </w:t>
      </w:r>
    </w:p>
    <w:p xmlns:wp14="http://schemas.microsoft.com/office/word/2010/wordml" w:rsidP="25E8442C" w14:paraId="488D4C4F" wp14:textId="3DB882F8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Probe for more: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S/he also has a responsibility to get all participants to talk and fully explain their answers. Some helpful probes include:  </w:t>
      </w:r>
    </w:p>
    <w:p xmlns:wp14="http://schemas.microsoft.com/office/word/2010/wordml" w:rsidP="25E8442C" w14:paraId="4B0228AD" wp14:textId="4056D5E0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“</w:t>
      </w:r>
      <w:r w:rsidRPr="25E8442C" w:rsidR="6087805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Can you talk about that more?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” </w:t>
      </w:r>
    </w:p>
    <w:p xmlns:wp14="http://schemas.microsoft.com/office/word/2010/wordml" w:rsidP="25E8442C" w14:paraId="3B75E8BF" wp14:textId="36F3F6CF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“</w:t>
      </w:r>
      <w:r w:rsidRPr="25E8442C" w:rsidR="6087805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Help me understand what you mean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” </w:t>
      </w:r>
    </w:p>
    <w:p xmlns:wp14="http://schemas.microsoft.com/office/word/2010/wordml" w:rsidP="25E8442C" w14:paraId="591593C8" wp14:textId="433500FE">
      <w:pPr>
        <w:spacing w:line="276" w:lineRule="auto"/>
        <w:ind w:left="360" w:hanging="360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“</w:t>
      </w:r>
      <w:r w:rsidRPr="25E8442C" w:rsidR="6087805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Can you give an example?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” </w:t>
      </w:r>
    </w:p>
    <w:p xmlns:wp14="http://schemas.microsoft.com/office/word/2010/wordml" w:rsidP="25E8442C" w14:paraId="47759752" wp14:textId="507F5005">
      <w:pPr>
        <w:spacing w:line="253" w:lineRule="exact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335379B6" wp14:textId="2C3287C7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Summarize: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It is good moderator practice to paraphrase and summarize (repeat in your own words) long, complex or ambiguous comments. It demonstrates active listening and clarifies the comment for everyone in the group. </w:t>
      </w:r>
    </w:p>
    <w:p xmlns:wp14="http://schemas.microsoft.com/office/word/2010/wordml" w:rsidP="25E8442C" w14:paraId="63EA9725" wp14:textId="2CB2C5E4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Remain neutral: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Because the moderator holds a position of authority and perceived influence, s/he must remain neutral, refraining from nodding/raising eyebrows, agreeing/disagreeing, or praising/denigrating any comment made. </w:t>
      </w:r>
    </w:p>
    <w:p xmlns:wp14="http://schemas.microsoft.com/office/word/2010/wordml" w:rsidP="25E8442C" w14:paraId="64952BD5" wp14:textId="183D7C64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Actively moderate:</w:t>
      </w: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 moderator must tactfully deal with challenging participants. Here are some appropriate strategies:</w:t>
      </w:r>
    </w:p>
    <w:p xmlns:wp14="http://schemas.microsoft.com/office/word/2010/wordml" w:rsidP="25E8442C" w14:paraId="1D9C9B6E" wp14:textId="220F0AA7">
      <w:pPr>
        <w:spacing w:line="276" w:lineRule="auto"/>
        <w:ind w:left="360" w:hanging="360"/>
        <w:jc w:val="both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>Self-appointed experts: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“</w:t>
      </w:r>
      <w:r w:rsidRPr="25E8442C" w:rsidR="6087805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Thank you. What do other people think?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” </w:t>
      </w:r>
    </w:p>
    <w:p xmlns:wp14="http://schemas.microsoft.com/office/word/2010/wordml" w:rsidP="25E8442C" w14:paraId="6688C7F7" wp14:textId="64D9ED52">
      <w:pPr>
        <w:spacing w:line="276" w:lineRule="auto"/>
        <w:ind w:left="360" w:hanging="360"/>
        <w:jc w:val="both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>The dominator: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“</w:t>
      </w:r>
      <w:r w:rsidRPr="25E8442C" w:rsidR="6087805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Let’s have some other comments.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”</w:t>
      </w:r>
    </w:p>
    <w:p xmlns:wp14="http://schemas.microsoft.com/office/word/2010/wordml" w:rsidP="25E8442C" w14:paraId="22A2B5E1" wp14:textId="0C2C6BDF">
      <w:pPr>
        <w:spacing w:line="276" w:lineRule="auto"/>
        <w:ind w:left="360" w:hanging="360"/>
        <w:jc w:val="both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>The rambler (doesn’t stop talking):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Stop eye contact; look at your watch; jump in when they inhale. </w:t>
      </w:r>
    </w:p>
    <w:p xmlns:wp14="http://schemas.microsoft.com/office/word/2010/wordml" w:rsidP="25E8442C" w14:paraId="569DAADA" wp14:textId="7B6E2408">
      <w:pPr>
        <w:spacing w:line="276" w:lineRule="auto"/>
        <w:ind w:left="360" w:hanging="360"/>
        <w:jc w:val="both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>The shy participant: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Make eye contact; call on them; smile at them. </w:t>
      </w:r>
    </w:p>
    <w:p xmlns:wp14="http://schemas.microsoft.com/office/word/2010/wordml" w:rsidP="25E8442C" w14:paraId="1047B8DD" wp14:textId="2CDAAF2A">
      <w:pPr>
        <w:spacing w:line="276" w:lineRule="auto"/>
        <w:ind w:left="360" w:hanging="360"/>
        <w:jc w:val="both"/>
      </w:pP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>●</w:t>
      </w:r>
      <w:r w:rsidRPr="25E8442C" w:rsidR="6087805C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>The participant who talks very quietly:</w:t>
      </w:r>
      <w:r w:rsidRPr="25E8442C" w:rsidR="6087805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Ask them to repeat their response more loudly. </w:t>
      </w:r>
    </w:p>
    <w:p xmlns:wp14="http://schemas.microsoft.com/office/word/2010/wordml" w:rsidP="25E8442C" w14:paraId="7E29A810" wp14:textId="5145E1F6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5E8442C" w14:paraId="595A2E94" wp14:textId="0DBBBF44">
      <w:pPr>
        <w:spacing w:line="240" w:lineRule="exact"/>
        <w:jc w:val="both"/>
      </w:pPr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Additional guidance on focus group discussions can be found at the</w:t>
      </w:r>
      <w:hyperlink r:id="R7d9074d14aaf4b82">
        <w:r w:rsidRPr="25E8442C" w:rsidR="6087805C">
          <w:rPr>
            <w:rStyle w:val="Hyperlink"/>
            <w:rFonts w:ascii="Arial" w:hAnsi="Arial" w:eastAsia="Arial" w:cs="Arial"/>
            <w:strike w:val="0"/>
            <w:dstrike w:val="0"/>
            <w:noProof w:val="0"/>
            <w:sz w:val="22"/>
            <w:szCs w:val="22"/>
            <w:lang w:val="en-US"/>
          </w:rPr>
          <w:t xml:space="preserve"> Duke University</w:t>
        </w:r>
      </w:hyperlink>
      <w:r w:rsidRPr="25E8442C" w:rsidR="6087805C">
        <w:rPr>
          <w:rFonts w:ascii="Arial" w:hAnsi="Arial" w:eastAsia="Arial" w:cs="Arial"/>
          <w:noProof w:val="0"/>
          <w:color w:val="1155CC"/>
          <w:sz w:val="22"/>
          <w:szCs w:val="22"/>
          <w:u w:val="single"/>
          <w:lang w:val="en-US"/>
        </w:rPr>
        <w:t xml:space="preserve"> website: </w:t>
      </w:r>
      <w:hyperlink r:id="R402a6124ec9542f6">
        <w:r w:rsidRPr="25E8442C" w:rsidR="6087805C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https://guides.library.duke.edu/c.php?g=289813&amp;p=1934019</w:t>
        </w:r>
      </w:hyperlink>
      <w:r w:rsidRPr="25E8442C" w:rsidR="608780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5E8442C" w14:paraId="2C078E63" wp14:textId="52E7E0D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1EzQCKQ" int2:invalidationBookmarkName="" int2:hashCode="d5qcTgvjMJ9Swg" int2:id="DmQBKmWE">
      <int2:state int2:type="WordDesignerDefaultAnnotation" int2:value="Rejected"/>
    </int2:bookmark>
    <int2:bookmark int2:bookmarkName="_Int_4vRjzLUG" int2:invalidationBookmarkName="" int2:hashCode="ElDUnItVKfrSES" int2:id="VBWKt2NA">
      <int2:state int2:type="WordDesignerDefaultAnnotation" int2:value="Rejected"/>
    </int2:bookmark>
    <int2:bookmark int2:bookmarkName="_Int_DnvQCZUk" int2:invalidationBookmarkName="" int2:hashCode="8YdHy3FVNoiIYr" int2:id="UhDHZOZ3">
      <int2:state int2:type="WordDesignerDefaultAnnotation" int2:value="Rejected"/>
    </int2:bookmark>
    <int2:bookmark int2:bookmarkName="_Int_fwHJHzlP" int2:invalidationBookmarkName="" int2:hashCode="2Z6WzUv3L3atxT" int2:id="xuVVyxpN">
      <int2:state int2:type="WordDesignerDefaultAnnotation" int2:value="Rejected"/>
    </int2:bookmark>
    <int2:bookmark int2:bookmarkName="_Int_MRPcVyt3" int2:invalidationBookmarkName="" int2:hashCode="SBJr0bACwbPOhB" int2:id="odfTE0Ia">
      <int2:state int2:type="WordDesignerDefaultAnnotation" int2:value="Rejected"/>
    </int2:bookmark>
    <int2:bookmark int2:bookmarkName="_Int_iNCz9SAz" int2:invalidationBookmarkName="" int2:hashCode="nkI+uKUhfAa05g" int2:id="RLwkPiHM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1354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B596A6"/>
    <w:rsid w:val="05B596A6"/>
    <w:rsid w:val="0782D142"/>
    <w:rsid w:val="117B24DC"/>
    <w:rsid w:val="177BC749"/>
    <w:rsid w:val="1CE14FF8"/>
    <w:rsid w:val="21A96F44"/>
    <w:rsid w:val="25E8442C"/>
    <w:rsid w:val="325F4F4A"/>
    <w:rsid w:val="415A004E"/>
    <w:rsid w:val="546213C3"/>
    <w:rsid w:val="546213C3"/>
    <w:rsid w:val="6087805C"/>
    <w:rsid w:val="6995D4F0"/>
    <w:rsid w:val="71998675"/>
    <w:rsid w:val="7580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96A6"/>
  <w15:chartTrackingRefBased/>
  <w15:docId w15:val="{D34A6526-B353-48D3-99AC-2F59DF30DA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402a6124ec9542f6" Type="http://schemas.openxmlformats.org/officeDocument/2006/relationships/hyperlink" Target="https://guides.library.duke.edu/c.php?g=289813&amp;p=1934019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be33fc7b3643429d" Type="http://schemas.microsoft.com/office/2020/10/relationships/intelligence" Target="intelligence2.xml"/><Relationship Id="R6d8a2ab6b3554299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7d9074d14aaf4b82" Type="http://schemas.openxmlformats.org/officeDocument/2006/relationships/hyperlink" Target="https://assessment.trinity.duke.edu/documents/How_to_Conduct_a_Focus_Group.pdf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76725525-AB82-4436-88CC-F444CD99904A}"/>
</file>

<file path=customXml/itemProps2.xml><?xml version="1.0" encoding="utf-8"?>
<ds:datastoreItem xmlns:ds="http://schemas.openxmlformats.org/officeDocument/2006/customXml" ds:itemID="{460D8160-E8CE-4A65-981B-A5B55D1FA9E3}"/>
</file>

<file path=customXml/itemProps3.xml><?xml version="1.0" encoding="utf-8"?>
<ds:datastoreItem xmlns:ds="http://schemas.openxmlformats.org/officeDocument/2006/customXml" ds:itemID="{E0FB93FF-8723-46EB-8DA4-E353134098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tozierdelapoterie</dc:creator>
  <cp:keywords/>
  <dc:description/>
  <cp:lastModifiedBy>arielle tozierdelapoterie</cp:lastModifiedBy>
  <dcterms:created xsi:type="dcterms:W3CDTF">2022-09-08T17:31:51Z</dcterms:created>
  <dcterms:modified xsi:type="dcterms:W3CDTF">2022-09-08T19:11:03Z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</Properties>
</file>