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A1B6" w14:textId="77777777" w:rsidR="00677BDB" w:rsidRDefault="00DF2A4D">
      <w:pPr>
        <w:pBdr>
          <w:top w:val="nil"/>
          <w:left w:val="nil"/>
          <w:bottom w:val="nil"/>
          <w:right w:val="nil"/>
          <w:between w:val="nil"/>
        </w:pBdr>
        <w:spacing w:before="360" w:after="240"/>
        <w:jc w:val="left"/>
        <w:rPr>
          <w:rFonts w:ascii="Calibri" w:eastAsia="Calibri" w:hAnsi="Calibri" w:cs="Calibri"/>
          <w:b/>
          <w:color w:val="000000"/>
          <w:sz w:val="40"/>
          <w:szCs w:val="40"/>
        </w:rPr>
      </w:pPr>
      <w:bookmarkStart w:id="0" w:name="_GoBack"/>
      <w:bookmarkEnd w:id="0"/>
      <w:r>
        <w:rPr>
          <w:rFonts w:ascii="Calibri" w:eastAsia="Calibri" w:hAnsi="Calibri" w:cs="Calibri"/>
          <w:b/>
          <w:color w:val="000000"/>
          <w:sz w:val="40"/>
          <w:szCs w:val="40"/>
        </w:rPr>
        <w:t>What to consider when setting the value of the transfer</w:t>
      </w:r>
    </w:p>
    <w:p w14:paraId="5B3E7BE9" w14:textId="77777777" w:rsidR="00677BDB" w:rsidRDefault="00DF2A4D">
      <w:pPr>
        <w:rPr>
          <w:rFonts w:ascii="Calibri" w:eastAsia="Calibri" w:hAnsi="Calibri" w:cs="Calibri"/>
          <w:b/>
          <w:sz w:val="22"/>
          <w:szCs w:val="22"/>
        </w:rPr>
      </w:pPr>
      <w:r>
        <w:rPr>
          <w:rFonts w:ascii="Calibri" w:eastAsia="Calibri" w:hAnsi="Calibri" w:cs="Calibri"/>
          <w:sz w:val="22"/>
          <w:szCs w:val="22"/>
        </w:rPr>
        <w:t>Setting the value of a cash transfer to meet your objective will mainly revolve around the question of “</w:t>
      </w:r>
      <w:r>
        <w:rPr>
          <w:rFonts w:ascii="Calibri" w:eastAsia="Calibri" w:hAnsi="Calibri" w:cs="Calibri"/>
          <w:b/>
          <w:sz w:val="22"/>
          <w:szCs w:val="22"/>
        </w:rPr>
        <w:t>what needs is the cash transfer expected to cover?”</w:t>
      </w:r>
    </w:p>
    <w:p w14:paraId="07248DB6" w14:textId="77777777" w:rsidR="00677BDB" w:rsidRDefault="00DF2A4D">
      <w:pPr>
        <w:numPr>
          <w:ilvl w:val="0"/>
          <w:numId w:val="2"/>
        </w:numPr>
        <w:pBdr>
          <w:top w:val="nil"/>
          <w:left w:val="nil"/>
          <w:bottom w:val="nil"/>
          <w:right w:val="nil"/>
          <w:between w:val="nil"/>
        </w:pBdr>
        <w:tabs>
          <w:tab w:val="left" w:pos="7230"/>
        </w:tabs>
        <w:spacing w:before="120"/>
        <w:ind w:left="714" w:hanging="357"/>
        <w:rPr>
          <w:rFonts w:ascii="Calibri" w:eastAsia="Calibri" w:hAnsi="Calibri" w:cs="Calibri"/>
          <w:sz w:val="22"/>
          <w:szCs w:val="22"/>
        </w:rPr>
      </w:pPr>
      <w:r>
        <w:rPr>
          <w:rFonts w:ascii="Calibri" w:eastAsia="Calibri" w:hAnsi="Calibri" w:cs="Calibri"/>
          <w:color w:val="000000"/>
          <w:sz w:val="22"/>
          <w:szCs w:val="22"/>
        </w:rPr>
        <w:t>How much will it cost for intended target people to purchase goods in local markets?</w:t>
      </w:r>
    </w:p>
    <w:p w14:paraId="205D4075" w14:textId="77777777" w:rsidR="00677BDB" w:rsidRDefault="00DF2A4D">
      <w:pPr>
        <w:numPr>
          <w:ilvl w:val="0"/>
          <w:numId w:val="2"/>
        </w:numPr>
        <w:pBdr>
          <w:top w:val="nil"/>
          <w:left w:val="nil"/>
          <w:bottom w:val="nil"/>
          <w:right w:val="nil"/>
          <w:between w:val="nil"/>
        </w:pBdr>
        <w:tabs>
          <w:tab w:val="left" w:pos="7230"/>
        </w:tabs>
        <w:spacing w:before="120"/>
        <w:ind w:left="714" w:hanging="357"/>
        <w:rPr>
          <w:rFonts w:ascii="Calibri" w:eastAsia="Calibri" w:hAnsi="Calibri" w:cs="Calibri"/>
          <w:sz w:val="22"/>
          <w:szCs w:val="22"/>
        </w:rPr>
      </w:pPr>
      <w:r>
        <w:rPr>
          <w:rFonts w:ascii="Calibri" w:eastAsia="Calibri" w:hAnsi="Calibri" w:cs="Calibri"/>
          <w:color w:val="000000"/>
          <w:sz w:val="22"/>
          <w:szCs w:val="22"/>
        </w:rPr>
        <w:t>Are there any o</w:t>
      </w:r>
      <w:r>
        <w:rPr>
          <w:rFonts w:ascii="Calibri" w:eastAsia="Calibri" w:hAnsi="Calibri" w:cs="Calibri"/>
          <w:color w:val="000000"/>
          <w:sz w:val="22"/>
          <w:szCs w:val="22"/>
        </w:rPr>
        <w:t>ther goods and services on which households may spend available cash?</w:t>
      </w:r>
    </w:p>
    <w:p w14:paraId="347E8AF7" w14:textId="77777777" w:rsidR="00677BDB" w:rsidRDefault="00DF2A4D">
      <w:pPr>
        <w:numPr>
          <w:ilvl w:val="0"/>
          <w:numId w:val="2"/>
        </w:numPr>
        <w:pBdr>
          <w:top w:val="nil"/>
          <w:left w:val="nil"/>
          <w:bottom w:val="nil"/>
          <w:right w:val="nil"/>
          <w:between w:val="nil"/>
        </w:pBdr>
        <w:tabs>
          <w:tab w:val="left" w:pos="7230"/>
        </w:tabs>
        <w:spacing w:before="120"/>
        <w:ind w:left="714" w:hanging="357"/>
        <w:rPr>
          <w:rFonts w:ascii="Calibri" w:eastAsia="Calibri" w:hAnsi="Calibri" w:cs="Calibri"/>
          <w:sz w:val="22"/>
          <w:szCs w:val="22"/>
        </w:rPr>
      </w:pPr>
      <w:r>
        <w:rPr>
          <w:rFonts w:ascii="Calibri" w:eastAsia="Calibri" w:hAnsi="Calibri" w:cs="Calibri"/>
          <w:color w:val="000000"/>
          <w:sz w:val="22"/>
          <w:szCs w:val="22"/>
        </w:rPr>
        <w:t>What can households provide from their own income and other sources of support?</w:t>
      </w:r>
    </w:p>
    <w:p w14:paraId="75A603FD" w14:textId="77777777" w:rsidR="00677BDB" w:rsidRDefault="00DF2A4D">
      <w:pPr>
        <w:numPr>
          <w:ilvl w:val="0"/>
          <w:numId w:val="2"/>
        </w:numPr>
        <w:pBdr>
          <w:top w:val="nil"/>
          <w:left w:val="nil"/>
          <w:bottom w:val="nil"/>
          <w:right w:val="nil"/>
          <w:between w:val="nil"/>
        </w:pBdr>
        <w:tabs>
          <w:tab w:val="left" w:pos="7230"/>
        </w:tabs>
        <w:spacing w:before="120" w:after="360"/>
        <w:ind w:left="714" w:hanging="357"/>
        <w:rPr>
          <w:rFonts w:ascii="Calibri" w:eastAsia="Calibri" w:hAnsi="Calibri" w:cs="Calibri"/>
          <w:sz w:val="22"/>
          <w:szCs w:val="22"/>
        </w:rPr>
      </w:pPr>
      <w:r>
        <w:rPr>
          <w:rFonts w:ascii="Calibri" w:eastAsia="Calibri" w:hAnsi="Calibri" w:cs="Calibri"/>
          <w:color w:val="000000"/>
          <w:sz w:val="22"/>
          <w:szCs w:val="22"/>
        </w:rPr>
        <w:t>Are prices likely to increase during the lifespan of the project?</w:t>
      </w:r>
    </w:p>
    <w:tbl>
      <w:tblPr>
        <w:tblStyle w:val="a"/>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892"/>
      </w:tblGrid>
      <w:tr w:rsidR="00677BDB" w14:paraId="1204A55D" w14:textId="77777777">
        <w:tc>
          <w:tcPr>
            <w:tcW w:w="1956" w:type="dxa"/>
            <w:tcBorders>
              <w:bottom w:val="single" w:sz="4" w:space="0" w:color="000000"/>
            </w:tcBorders>
            <w:shd w:val="clear" w:color="auto" w:fill="DC281E"/>
            <w:vAlign w:val="center"/>
          </w:tcPr>
          <w:p w14:paraId="7CF3EE14" w14:textId="77777777" w:rsidR="00677BDB" w:rsidRDefault="00DF2A4D">
            <w:pPr>
              <w:spacing w:before="120" w:line="276" w:lineRule="auto"/>
              <w:jc w:val="center"/>
              <w:rPr>
                <w:rFonts w:ascii="Calibri" w:eastAsia="Calibri" w:hAnsi="Calibri" w:cs="Calibri"/>
                <w:b/>
                <w:color w:val="FFFFFF"/>
              </w:rPr>
            </w:pPr>
            <w:r>
              <w:rPr>
                <w:rFonts w:ascii="Calibri" w:eastAsia="Calibri" w:hAnsi="Calibri" w:cs="Calibri"/>
                <w:b/>
                <w:color w:val="FFFFFF"/>
              </w:rPr>
              <w:t>Modality</w:t>
            </w:r>
          </w:p>
        </w:tc>
        <w:tc>
          <w:tcPr>
            <w:tcW w:w="7892" w:type="dxa"/>
            <w:tcBorders>
              <w:bottom w:val="single" w:sz="4" w:space="0" w:color="000000"/>
            </w:tcBorders>
            <w:shd w:val="clear" w:color="auto" w:fill="DC281E"/>
            <w:vAlign w:val="center"/>
          </w:tcPr>
          <w:p w14:paraId="35016822" w14:textId="77777777" w:rsidR="00677BDB" w:rsidRDefault="00DF2A4D">
            <w:pPr>
              <w:spacing w:before="120"/>
              <w:jc w:val="center"/>
              <w:rPr>
                <w:rFonts w:ascii="Calibri" w:eastAsia="Calibri" w:hAnsi="Calibri" w:cs="Calibri"/>
                <w:b/>
                <w:color w:val="FFFFFF"/>
              </w:rPr>
            </w:pPr>
            <w:r>
              <w:rPr>
                <w:rFonts w:ascii="Calibri" w:eastAsia="Calibri" w:hAnsi="Calibri" w:cs="Calibri"/>
                <w:b/>
                <w:color w:val="FFFFFF"/>
              </w:rPr>
              <w:t>Considerations</w:t>
            </w:r>
          </w:p>
        </w:tc>
      </w:tr>
      <w:tr w:rsidR="00677BDB" w14:paraId="73A3A530" w14:textId="77777777">
        <w:tc>
          <w:tcPr>
            <w:tcW w:w="1956" w:type="dxa"/>
            <w:shd w:val="clear" w:color="auto" w:fill="A6A6A6"/>
            <w:vAlign w:val="center"/>
          </w:tcPr>
          <w:p w14:paraId="57489F6D" w14:textId="77777777" w:rsidR="00677BDB" w:rsidRDefault="00DF2A4D">
            <w:pPr>
              <w:spacing w:before="120" w:after="60" w:line="276" w:lineRule="auto"/>
              <w:jc w:val="left"/>
              <w:rPr>
                <w:rFonts w:ascii="Calibri" w:eastAsia="Calibri" w:hAnsi="Calibri" w:cs="Calibri"/>
                <w:b/>
              </w:rPr>
            </w:pPr>
            <w:r>
              <w:rPr>
                <w:rFonts w:ascii="Calibri" w:eastAsia="Calibri" w:hAnsi="Calibri" w:cs="Calibri"/>
                <w:b/>
              </w:rPr>
              <w:t>Generic to all modalities</w:t>
            </w:r>
          </w:p>
        </w:tc>
        <w:tc>
          <w:tcPr>
            <w:tcW w:w="7892" w:type="dxa"/>
            <w:shd w:val="clear" w:color="auto" w:fill="E6E6E6"/>
          </w:tcPr>
          <w:p w14:paraId="1818ECBF"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Use your assessment and response options analysis to identify the target population and the gap that your programme aims to fill. Identify what the transfer is intended to be used for e.g.:</w:t>
            </w:r>
          </w:p>
          <w:p w14:paraId="0F3F0E31" w14:textId="77777777" w:rsidR="00677BDB" w:rsidRDefault="00DF2A4D">
            <w:pPr>
              <w:keepNext/>
              <w:keepLines/>
              <w:numPr>
                <w:ilvl w:val="2"/>
                <w:numId w:val="1"/>
              </w:numPr>
              <w:pBdr>
                <w:top w:val="nil"/>
                <w:left w:val="nil"/>
                <w:bottom w:val="nil"/>
                <w:right w:val="nil"/>
                <w:between w:val="nil"/>
              </w:pBdr>
              <w:tabs>
                <w:tab w:val="left" w:pos="7230"/>
              </w:tabs>
              <w:spacing w:before="144" w:after="144"/>
              <w:ind w:left="1727"/>
              <w:rPr>
                <w:rFonts w:ascii="Calibri" w:eastAsia="Calibri" w:hAnsi="Calibri" w:cs="Calibri"/>
                <w:color w:val="000000"/>
              </w:rPr>
            </w:pPr>
            <w:bookmarkStart w:id="1" w:name="_heading=h.gjdgxs" w:colFirst="0" w:colLast="0"/>
            <w:bookmarkEnd w:id="1"/>
            <w:r>
              <w:rPr>
                <w:rFonts w:ascii="Calibri" w:eastAsia="Calibri" w:hAnsi="Calibri" w:cs="Calibri"/>
                <w:color w:val="000000"/>
              </w:rPr>
              <w:t>daily consumption needs such as food, water, fuel, transport</w:t>
            </w:r>
          </w:p>
          <w:p w14:paraId="01102720" w14:textId="77777777" w:rsidR="00677BDB" w:rsidRDefault="00DF2A4D">
            <w:pPr>
              <w:keepNext/>
              <w:keepLines/>
              <w:numPr>
                <w:ilvl w:val="2"/>
                <w:numId w:val="1"/>
              </w:numPr>
              <w:pBdr>
                <w:top w:val="nil"/>
                <w:left w:val="nil"/>
                <w:bottom w:val="nil"/>
                <w:right w:val="nil"/>
                <w:between w:val="nil"/>
              </w:pBdr>
              <w:tabs>
                <w:tab w:val="left" w:pos="7230"/>
              </w:tabs>
              <w:spacing w:before="144" w:after="144"/>
              <w:ind w:left="1727"/>
              <w:rPr>
                <w:rFonts w:ascii="Calibri" w:eastAsia="Calibri" w:hAnsi="Calibri" w:cs="Calibri"/>
                <w:color w:val="000000"/>
              </w:rPr>
            </w:pPr>
            <w:r>
              <w:rPr>
                <w:rFonts w:ascii="Calibri" w:eastAsia="Calibri" w:hAnsi="Calibri" w:cs="Calibri"/>
                <w:color w:val="000000"/>
              </w:rPr>
              <w:t>household goods such as mattresses, kitchen equipment, clothing</w:t>
            </w:r>
          </w:p>
          <w:p w14:paraId="63B9A860" w14:textId="77777777" w:rsidR="00677BDB" w:rsidRDefault="00DF2A4D">
            <w:pPr>
              <w:keepNext/>
              <w:keepLines/>
              <w:numPr>
                <w:ilvl w:val="2"/>
                <w:numId w:val="1"/>
              </w:numPr>
              <w:pBdr>
                <w:top w:val="nil"/>
                <w:left w:val="nil"/>
                <w:bottom w:val="nil"/>
                <w:right w:val="nil"/>
                <w:between w:val="nil"/>
              </w:pBdr>
              <w:tabs>
                <w:tab w:val="left" w:pos="7230"/>
              </w:tabs>
              <w:spacing w:before="144" w:after="144"/>
              <w:ind w:left="1727"/>
              <w:rPr>
                <w:rFonts w:ascii="Calibri" w:eastAsia="Calibri" w:hAnsi="Calibri" w:cs="Calibri"/>
                <w:color w:val="000000"/>
              </w:rPr>
            </w:pPr>
            <w:r>
              <w:rPr>
                <w:rFonts w:ascii="Calibri" w:eastAsia="Calibri" w:hAnsi="Calibri" w:cs="Calibri"/>
                <w:color w:val="000000"/>
              </w:rPr>
              <w:t>livelihood asset replacements such as tools</w:t>
            </w:r>
          </w:p>
          <w:p w14:paraId="647D5C17" w14:textId="77777777" w:rsidR="00677BDB" w:rsidRDefault="00DF2A4D">
            <w:pPr>
              <w:keepNext/>
              <w:keepLines/>
              <w:numPr>
                <w:ilvl w:val="2"/>
                <w:numId w:val="1"/>
              </w:numPr>
              <w:pBdr>
                <w:top w:val="nil"/>
                <w:left w:val="nil"/>
                <w:bottom w:val="nil"/>
                <w:right w:val="nil"/>
                <w:between w:val="nil"/>
              </w:pBdr>
              <w:tabs>
                <w:tab w:val="left" w:pos="7230"/>
              </w:tabs>
              <w:spacing w:before="144" w:after="144"/>
              <w:ind w:left="1727"/>
              <w:rPr>
                <w:rFonts w:ascii="Calibri" w:eastAsia="Calibri" w:hAnsi="Calibri" w:cs="Calibri"/>
                <w:color w:val="000000"/>
              </w:rPr>
            </w:pPr>
            <w:r>
              <w:rPr>
                <w:rFonts w:ascii="Calibri" w:eastAsia="Calibri" w:hAnsi="Calibri" w:cs="Calibri"/>
                <w:color w:val="000000"/>
              </w:rPr>
              <w:t>shelter materials for light reconstruction</w:t>
            </w:r>
          </w:p>
          <w:p w14:paraId="3842D544"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Analyse the minimum expenditure basket at ho</w:t>
            </w:r>
            <w:r>
              <w:rPr>
                <w:rFonts w:ascii="Calibri" w:eastAsia="Calibri" w:hAnsi="Calibri" w:cs="Calibri"/>
                <w:color w:val="000000"/>
              </w:rPr>
              <w:t>usehold level and match the value of the cash transfer the intended expenditures your cash</w:t>
            </w:r>
            <w:r>
              <w:rPr>
                <w:rFonts w:ascii="Calibri" w:eastAsia="Calibri" w:hAnsi="Calibri" w:cs="Calibri"/>
              </w:rPr>
              <w:t>/voucher</w:t>
            </w:r>
            <w:r>
              <w:rPr>
                <w:rFonts w:ascii="Calibri" w:eastAsia="Calibri" w:hAnsi="Calibri" w:cs="Calibri"/>
                <w:color w:val="000000"/>
              </w:rPr>
              <w:t xml:space="preserve"> is aiming to meet, adjusting to changing market prices.</w:t>
            </w:r>
          </w:p>
          <w:p w14:paraId="76FC75A8"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Calculate the value of the transfer on the basis of predicted future prices, to ensure that household</w:t>
            </w:r>
            <w:r>
              <w:rPr>
                <w:rFonts w:ascii="Calibri" w:eastAsia="Calibri" w:hAnsi="Calibri" w:cs="Calibri"/>
                <w:color w:val="000000"/>
              </w:rPr>
              <w:t>s can maintain purchasing power.</w:t>
            </w:r>
          </w:p>
          <w:p w14:paraId="4E3A93B5"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Assess whether the transfer should be adjusted to household size or be a standard amount (e.g. $10 per person per month or $50 per household for food, water and fuel costs).</w:t>
            </w:r>
          </w:p>
          <w:p w14:paraId="38417353"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Assess security risks associated with large amoun</w:t>
            </w:r>
            <w:r>
              <w:rPr>
                <w:rFonts w:ascii="Calibri" w:eastAsia="Calibri" w:hAnsi="Calibri" w:cs="Calibri"/>
                <w:color w:val="000000"/>
              </w:rPr>
              <w:t xml:space="preserve">ts being paid in one go and people only having to go once to collect the transfer, versus options that involve smaller amounts and more frequent displacements. </w:t>
            </w:r>
          </w:p>
          <w:p w14:paraId="41F2188F"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Assess how easy it would be to top-up a transfer in line with your chosen cash transfer mechani</w:t>
            </w:r>
            <w:r>
              <w:rPr>
                <w:rFonts w:ascii="Calibri" w:eastAsia="Calibri" w:hAnsi="Calibri" w:cs="Calibri"/>
                <w:color w:val="000000"/>
              </w:rPr>
              <w:t>sm (direct distribution of cash versus mobile money options)</w:t>
            </w:r>
          </w:p>
          <w:p w14:paraId="7FA504E1"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Consult and involve target p</w:t>
            </w:r>
            <w:r>
              <w:rPr>
                <w:rFonts w:ascii="Calibri" w:eastAsia="Calibri" w:hAnsi="Calibri" w:cs="Calibri"/>
              </w:rPr>
              <w:t>opulation</w:t>
            </w:r>
            <w:r>
              <w:rPr>
                <w:rFonts w:ascii="Calibri" w:eastAsia="Calibri" w:hAnsi="Calibri" w:cs="Calibri"/>
                <w:color w:val="000000"/>
              </w:rPr>
              <w:t>, community representatives and other key stakeholders to ensure the value of the transfer matches expectations and changes in the operating context.</w:t>
            </w:r>
          </w:p>
          <w:p w14:paraId="78B93142" w14:textId="77777777" w:rsidR="00677BDB" w:rsidRDefault="00DF2A4D">
            <w:pPr>
              <w:keepNext/>
              <w:keepLines/>
              <w:numPr>
                <w:ilvl w:val="0"/>
                <w:numId w:val="1"/>
              </w:numPr>
              <w:pBdr>
                <w:top w:val="nil"/>
                <w:left w:val="nil"/>
                <w:bottom w:val="nil"/>
                <w:right w:val="nil"/>
                <w:between w:val="nil"/>
              </w:pBdr>
              <w:tabs>
                <w:tab w:val="left" w:pos="7230"/>
              </w:tabs>
              <w:spacing w:before="144" w:after="48"/>
              <w:rPr>
                <w:rFonts w:ascii="Calibri" w:eastAsia="Calibri" w:hAnsi="Calibri" w:cs="Calibri"/>
                <w:color w:val="000000"/>
              </w:rPr>
            </w:pPr>
            <w:r>
              <w:rPr>
                <w:rFonts w:ascii="Calibri" w:eastAsia="Calibri" w:hAnsi="Calibri" w:cs="Calibri"/>
                <w:color w:val="000000"/>
              </w:rPr>
              <w:t>Monitor to assess if the value of the cash transfer retains its purchasing power in the local market and have a contingency plan on what to do if there is inflation (increase value of transfer, increase regularity of payment, switch to in-kind or commodity</w:t>
            </w:r>
            <w:r>
              <w:rPr>
                <w:rFonts w:ascii="Calibri" w:eastAsia="Calibri" w:hAnsi="Calibri" w:cs="Calibri"/>
                <w:color w:val="000000"/>
              </w:rPr>
              <w:t xml:space="preserve"> vouchers as appropriate)</w:t>
            </w:r>
          </w:p>
        </w:tc>
      </w:tr>
      <w:tr w:rsidR="00677BDB" w14:paraId="3F0D964F" w14:textId="77777777">
        <w:tc>
          <w:tcPr>
            <w:tcW w:w="1956" w:type="dxa"/>
            <w:tcBorders>
              <w:bottom w:val="single" w:sz="4" w:space="0" w:color="000000"/>
            </w:tcBorders>
            <w:shd w:val="clear" w:color="auto" w:fill="A6A6A6"/>
            <w:vAlign w:val="center"/>
          </w:tcPr>
          <w:p w14:paraId="68051826" w14:textId="77777777" w:rsidR="00677BDB" w:rsidRDefault="00DF2A4D">
            <w:pPr>
              <w:spacing w:before="120" w:after="60" w:line="276" w:lineRule="auto"/>
              <w:jc w:val="left"/>
              <w:rPr>
                <w:rFonts w:ascii="Calibri" w:eastAsia="Calibri" w:hAnsi="Calibri" w:cs="Calibri"/>
                <w:b/>
              </w:rPr>
            </w:pPr>
            <w:r>
              <w:rPr>
                <w:rFonts w:ascii="Calibri" w:eastAsia="Calibri" w:hAnsi="Calibri" w:cs="Calibri"/>
                <w:b/>
              </w:rPr>
              <w:lastRenderedPageBreak/>
              <w:t>Unconditional cash transfers</w:t>
            </w:r>
          </w:p>
        </w:tc>
        <w:tc>
          <w:tcPr>
            <w:tcW w:w="7892" w:type="dxa"/>
            <w:shd w:val="clear" w:color="auto" w:fill="E6E6E6"/>
          </w:tcPr>
          <w:p w14:paraId="267C516F"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 xml:space="preserve">Decide whether to provide a one off payment to meet you project objective or whether multiple regular instalments are needed and set the value of the transfer accordingly (e.g., one off $200 payment or 4 payments of $50 every 2 weeks to meet all household </w:t>
            </w:r>
            <w:r>
              <w:rPr>
                <w:rFonts w:ascii="Calibri" w:eastAsia="Calibri" w:hAnsi="Calibri" w:cs="Calibri"/>
                <w:color w:val="000000"/>
              </w:rPr>
              <w:t>expenditure).</w:t>
            </w:r>
          </w:p>
          <w:p w14:paraId="0A4CCAD2" w14:textId="77777777" w:rsidR="00677BDB" w:rsidRDefault="00DF2A4D">
            <w:pPr>
              <w:keepNext/>
              <w:keepLines/>
              <w:numPr>
                <w:ilvl w:val="0"/>
                <w:numId w:val="1"/>
              </w:numPr>
              <w:pBdr>
                <w:top w:val="nil"/>
                <w:left w:val="nil"/>
                <w:bottom w:val="nil"/>
                <w:right w:val="nil"/>
                <w:between w:val="nil"/>
              </w:pBdr>
              <w:tabs>
                <w:tab w:val="left" w:pos="7230"/>
              </w:tabs>
              <w:spacing w:before="144" w:after="48"/>
              <w:rPr>
                <w:rFonts w:ascii="Calibri" w:eastAsia="Calibri" w:hAnsi="Calibri" w:cs="Calibri"/>
                <w:color w:val="000000"/>
              </w:rPr>
            </w:pPr>
            <w:r>
              <w:rPr>
                <w:rFonts w:ascii="Calibri" w:eastAsia="Calibri" w:hAnsi="Calibri" w:cs="Calibri"/>
                <w:color w:val="000000"/>
              </w:rPr>
              <w:t xml:space="preserve">Remember heavily indebted households may use grants to repay debts rather than to buy the goods you intended. </w:t>
            </w:r>
          </w:p>
        </w:tc>
      </w:tr>
      <w:tr w:rsidR="00677BDB" w14:paraId="7C8ECFC7" w14:textId="77777777">
        <w:tc>
          <w:tcPr>
            <w:tcW w:w="1956" w:type="dxa"/>
            <w:shd w:val="clear" w:color="auto" w:fill="A6A6A6"/>
            <w:vAlign w:val="center"/>
          </w:tcPr>
          <w:p w14:paraId="074C1B23" w14:textId="77777777" w:rsidR="00677BDB" w:rsidRDefault="00DF2A4D">
            <w:pPr>
              <w:keepNext/>
              <w:keepLines/>
              <w:spacing w:before="120" w:after="60" w:line="276" w:lineRule="auto"/>
              <w:jc w:val="left"/>
              <w:rPr>
                <w:rFonts w:ascii="Calibri" w:eastAsia="Calibri" w:hAnsi="Calibri" w:cs="Calibri"/>
                <w:b/>
              </w:rPr>
            </w:pPr>
            <w:r>
              <w:rPr>
                <w:rFonts w:ascii="Calibri" w:eastAsia="Calibri" w:hAnsi="Calibri" w:cs="Calibri"/>
                <w:b/>
              </w:rPr>
              <w:t>Conditional Cash transfers</w:t>
            </w:r>
          </w:p>
        </w:tc>
        <w:tc>
          <w:tcPr>
            <w:tcW w:w="7892" w:type="dxa"/>
            <w:shd w:val="clear" w:color="auto" w:fill="E6E6E6"/>
          </w:tcPr>
          <w:p w14:paraId="0DB9B74E"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When choosing conditional cash transfers, take into account the cost of assets/materials may vary by location and by livelihood activity, so adjust the value of the transfer accordingly.</w:t>
            </w:r>
          </w:p>
          <w:p w14:paraId="28B9D78C" w14:textId="77777777" w:rsidR="00677BDB" w:rsidRDefault="00DF2A4D">
            <w:pPr>
              <w:keepNext/>
              <w:keepLines/>
              <w:numPr>
                <w:ilvl w:val="0"/>
                <w:numId w:val="1"/>
              </w:numPr>
              <w:pBdr>
                <w:top w:val="nil"/>
                <w:left w:val="nil"/>
                <w:bottom w:val="nil"/>
                <w:right w:val="nil"/>
                <w:between w:val="nil"/>
              </w:pBdr>
              <w:tabs>
                <w:tab w:val="left" w:pos="7230"/>
              </w:tabs>
              <w:spacing w:before="144" w:after="48"/>
              <w:rPr>
                <w:rFonts w:ascii="Calibri" w:eastAsia="Calibri" w:hAnsi="Calibri" w:cs="Calibri"/>
                <w:color w:val="000000"/>
              </w:rPr>
            </w:pPr>
            <w:r>
              <w:rPr>
                <w:rFonts w:ascii="Calibri" w:eastAsia="Calibri" w:hAnsi="Calibri" w:cs="Calibri"/>
                <w:color w:val="000000"/>
              </w:rPr>
              <w:t>When providing cash transfers as cash or vouchers for livelihood or s</w:t>
            </w:r>
            <w:r>
              <w:rPr>
                <w:rFonts w:ascii="Calibri" w:eastAsia="Calibri" w:hAnsi="Calibri" w:cs="Calibri"/>
                <w:color w:val="000000"/>
              </w:rPr>
              <w:t>helter specific aims, include the value of the materials, labour and transport.</w:t>
            </w:r>
          </w:p>
        </w:tc>
      </w:tr>
      <w:tr w:rsidR="00677BDB" w14:paraId="3136EA5E" w14:textId="77777777">
        <w:tc>
          <w:tcPr>
            <w:tcW w:w="1956" w:type="dxa"/>
            <w:shd w:val="clear" w:color="auto" w:fill="A6A6A6"/>
            <w:vAlign w:val="center"/>
          </w:tcPr>
          <w:p w14:paraId="0DC5EECC" w14:textId="77777777" w:rsidR="00677BDB" w:rsidRDefault="00DF2A4D">
            <w:pPr>
              <w:spacing w:before="120" w:after="60" w:line="276" w:lineRule="auto"/>
              <w:jc w:val="left"/>
              <w:rPr>
                <w:rFonts w:ascii="Calibri" w:eastAsia="Calibri" w:hAnsi="Calibri" w:cs="Calibri"/>
                <w:b/>
              </w:rPr>
            </w:pPr>
            <w:r>
              <w:rPr>
                <w:rFonts w:ascii="Calibri" w:eastAsia="Calibri" w:hAnsi="Calibri" w:cs="Calibri"/>
                <w:b/>
              </w:rPr>
              <w:t>Cash for Work</w:t>
            </w:r>
          </w:p>
          <w:p w14:paraId="7D66B1FE" w14:textId="77777777" w:rsidR="00677BDB" w:rsidRDefault="00DF2A4D">
            <w:pPr>
              <w:spacing w:before="120" w:after="60" w:line="276" w:lineRule="auto"/>
              <w:jc w:val="left"/>
              <w:rPr>
                <w:rFonts w:ascii="Calibri" w:eastAsia="Calibri" w:hAnsi="Calibri" w:cs="Calibri"/>
                <w:b/>
              </w:rPr>
            </w:pPr>
            <w:r>
              <w:rPr>
                <w:rFonts w:ascii="Calibri" w:eastAsia="Calibri" w:hAnsi="Calibri" w:cs="Calibri"/>
                <w:b/>
              </w:rPr>
              <w:t>(CFW)</w:t>
            </w:r>
          </w:p>
        </w:tc>
        <w:tc>
          <w:tcPr>
            <w:tcW w:w="7892" w:type="dxa"/>
            <w:shd w:val="clear" w:color="auto" w:fill="E6E6E6"/>
          </w:tcPr>
          <w:p w14:paraId="67C74BB7"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 xml:space="preserve">Daily labour rates should be set just below the usual market rate. In this way, the most vulnerable people will self-select </w:t>
            </w:r>
            <w:r>
              <w:rPr>
                <w:rFonts w:ascii="Calibri" w:eastAsia="Calibri" w:hAnsi="Calibri" w:cs="Calibri"/>
              </w:rPr>
              <w:t>for jobs</w:t>
            </w:r>
            <w:r>
              <w:rPr>
                <w:rFonts w:ascii="Calibri" w:eastAsia="Calibri" w:hAnsi="Calibri" w:cs="Calibri"/>
                <w:color w:val="000000"/>
              </w:rPr>
              <w:t>, others will not leave local businesses and labourers will return to their longer-term livelihood options. CFW wages will h</w:t>
            </w:r>
            <w:r>
              <w:rPr>
                <w:rFonts w:ascii="Calibri" w:eastAsia="Calibri" w:hAnsi="Calibri" w:cs="Calibri"/>
                <w:color w:val="000000"/>
              </w:rPr>
              <w:t>ardly ever cover more than the cost of a household’s basic needs.</w:t>
            </w:r>
          </w:p>
          <w:p w14:paraId="63B0A1CA"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Payments can vary according to the skill level of the work, the length of the workday and the time period of the project.</w:t>
            </w:r>
          </w:p>
          <w:p w14:paraId="0A3BBB52"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Ensure that transport costs to and from the work site are covered.</w:t>
            </w:r>
          </w:p>
          <w:p w14:paraId="308DF2B6"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I</w:t>
            </w:r>
            <w:r>
              <w:rPr>
                <w:rFonts w:ascii="Calibri" w:eastAsia="Calibri" w:hAnsi="Calibri" w:cs="Calibri"/>
                <w:color w:val="000000"/>
              </w:rPr>
              <w:t>f several organizations are implementing CFW programmes, ensure that similar wages are applied.</w:t>
            </w:r>
          </w:p>
          <w:p w14:paraId="50A4F341" w14:textId="77777777" w:rsidR="00677BDB" w:rsidRDefault="00DF2A4D">
            <w:pPr>
              <w:keepNext/>
              <w:keepLines/>
              <w:numPr>
                <w:ilvl w:val="0"/>
                <w:numId w:val="1"/>
              </w:numPr>
              <w:pBdr>
                <w:top w:val="nil"/>
                <w:left w:val="nil"/>
                <w:bottom w:val="nil"/>
                <w:right w:val="nil"/>
                <w:between w:val="nil"/>
              </w:pBdr>
              <w:tabs>
                <w:tab w:val="left" w:pos="7230"/>
              </w:tabs>
              <w:spacing w:before="144" w:after="144"/>
              <w:rPr>
                <w:rFonts w:ascii="Calibri" w:eastAsia="Calibri" w:hAnsi="Calibri" w:cs="Calibri"/>
                <w:color w:val="000000"/>
              </w:rPr>
            </w:pPr>
            <w:r>
              <w:rPr>
                <w:rFonts w:ascii="Calibri" w:eastAsia="Calibri" w:hAnsi="Calibri" w:cs="Calibri"/>
                <w:color w:val="000000"/>
              </w:rPr>
              <w:t>Check frequently that CFW wages are in line with local rates and that local enterprises can find labourers. If monitoring suggests CFW is leading to labour shor</w:t>
            </w:r>
            <w:r>
              <w:rPr>
                <w:rFonts w:ascii="Calibri" w:eastAsia="Calibri" w:hAnsi="Calibri" w:cs="Calibri"/>
                <w:color w:val="000000"/>
              </w:rPr>
              <w:t>tages, consider reducing wages or restricting participation.</w:t>
            </w:r>
          </w:p>
          <w:p w14:paraId="6314D4DC" w14:textId="77777777" w:rsidR="00677BDB" w:rsidRDefault="00DF2A4D">
            <w:pPr>
              <w:keepNext/>
              <w:keepLines/>
              <w:numPr>
                <w:ilvl w:val="0"/>
                <w:numId w:val="1"/>
              </w:numPr>
              <w:pBdr>
                <w:top w:val="nil"/>
                <w:left w:val="nil"/>
                <w:bottom w:val="nil"/>
                <w:right w:val="nil"/>
                <w:between w:val="nil"/>
              </w:pBdr>
              <w:tabs>
                <w:tab w:val="left" w:pos="7230"/>
              </w:tabs>
              <w:spacing w:before="144" w:after="48"/>
              <w:rPr>
                <w:rFonts w:ascii="Calibri" w:eastAsia="Calibri" w:hAnsi="Calibri" w:cs="Calibri"/>
                <w:color w:val="000000"/>
              </w:rPr>
            </w:pPr>
            <w:r>
              <w:rPr>
                <w:rFonts w:ascii="Calibri" w:eastAsia="Calibri" w:hAnsi="Calibri" w:cs="Calibri"/>
                <w:color w:val="000000"/>
              </w:rPr>
              <w:t>Ensure you respect national legislation, as minimum wages can be defined by law.</w:t>
            </w:r>
          </w:p>
        </w:tc>
      </w:tr>
    </w:tbl>
    <w:p w14:paraId="22C9E7F3" w14:textId="77777777" w:rsidR="00677BDB" w:rsidRDefault="00DF2A4D">
      <w:pPr>
        <w:spacing w:before="120"/>
        <w:jc w:val="right"/>
        <w:rPr>
          <w:rFonts w:ascii="Calibri" w:eastAsia="Calibri" w:hAnsi="Calibri" w:cs="Calibri"/>
          <w:sz w:val="22"/>
          <w:szCs w:val="22"/>
        </w:rPr>
      </w:pPr>
      <w:r>
        <w:rPr>
          <w:rFonts w:ascii="Calibri" w:eastAsia="Calibri" w:hAnsi="Calibri" w:cs="Calibri"/>
          <w:sz w:val="22"/>
          <w:szCs w:val="22"/>
        </w:rPr>
        <w:t>Adapted from: IFRC (2007) Guidelines for cash transfer programming</w:t>
      </w:r>
    </w:p>
    <w:sectPr w:rsidR="00677BDB">
      <w:headerReference w:type="default" r:id="rId8"/>
      <w:footerReference w:type="even" r:id="rId9"/>
      <w:footerReference w:type="default" r:id="rId10"/>
      <w:pgSz w:w="11900" w:h="16840"/>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4E08" w14:textId="77777777" w:rsidR="00DF2A4D" w:rsidRDefault="00DF2A4D">
      <w:pPr>
        <w:spacing w:after="0"/>
      </w:pPr>
      <w:r>
        <w:separator/>
      </w:r>
    </w:p>
  </w:endnote>
  <w:endnote w:type="continuationSeparator" w:id="0">
    <w:p w14:paraId="5BDCFED9" w14:textId="77777777" w:rsidR="00DF2A4D" w:rsidRDefault="00DF2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22F8" w14:textId="77777777" w:rsidR="00677BDB" w:rsidRDefault="00DF2A4D">
    <w:pPr>
      <w:pBdr>
        <w:top w:val="nil"/>
        <w:left w:val="nil"/>
        <w:bottom w:val="nil"/>
        <w:right w:val="nil"/>
        <w:between w:val="nil"/>
      </w:pBdr>
      <w:spacing w:after="0"/>
      <w:jc w:val="right"/>
      <w:rPr>
        <w:rFonts w:cs="Arial"/>
        <w:b/>
        <w:color w:val="000000"/>
        <w:sz w:val="16"/>
        <w:szCs w:val="16"/>
      </w:rPr>
    </w:pPr>
    <w:r>
      <w:rPr>
        <w:rFonts w:cs="Arial"/>
        <w:b/>
        <w:color w:val="000000"/>
        <w:sz w:val="16"/>
        <w:szCs w:val="16"/>
      </w:rPr>
      <w:fldChar w:fldCharType="begin"/>
    </w:r>
    <w:r>
      <w:rPr>
        <w:rFonts w:cs="Arial"/>
        <w:b/>
        <w:color w:val="000000"/>
        <w:sz w:val="16"/>
        <w:szCs w:val="16"/>
      </w:rPr>
      <w:instrText>PAGE</w:instrText>
    </w:r>
    <w:r>
      <w:rPr>
        <w:rFonts w:cs="Arial"/>
        <w:b/>
        <w:color w:val="000000"/>
        <w:sz w:val="16"/>
        <w:szCs w:val="16"/>
      </w:rPr>
      <w:fldChar w:fldCharType="end"/>
    </w:r>
  </w:p>
  <w:p w14:paraId="7A717708" w14:textId="77777777" w:rsidR="00677BDB" w:rsidRDefault="00677BDB">
    <w:pPr>
      <w:pBdr>
        <w:top w:val="nil"/>
        <w:left w:val="nil"/>
        <w:bottom w:val="nil"/>
        <w:right w:val="nil"/>
        <w:between w:val="nil"/>
      </w:pBdr>
      <w:spacing w:after="0"/>
      <w:ind w:right="360"/>
      <w:jc w:val="left"/>
      <w:rPr>
        <w:rFonts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11B7" w14:textId="77777777" w:rsidR="00677BDB" w:rsidRDefault="00DF2A4D">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E644ED">
      <w:rPr>
        <w:b/>
        <w:color w:val="808080"/>
        <w:sz w:val="18"/>
        <w:szCs w:val="18"/>
      </w:rPr>
      <w:fldChar w:fldCharType="separate"/>
    </w:r>
    <w:r w:rsidR="00E644ED">
      <w:rPr>
        <w:b/>
        <w:noProof/>
        <w:color w:val="808080"/>
        <w:sz w:val="18"/>
        <w:szCs w:val="18"/>
      </w:rPr>
      <w:t>1</w:t>
    </w:r>
    <w:r>
      <w:rPr>
        <w:b/>
        <w:color w:val="808080"/>
        <w:sz w:val="18"/>
        <w:szCs w:val="18"/>
      </w:rPr>
      <w:fldChar w:fldCharType="end"/>
    </w:r>
  </w:p>
  <w:p w14:paraId="193070ED" w14:textId="77777777" w:rsidR="00677BDB" w:rsidRDefault="00DF2A4D">
    <w:pPr>
      <w:pBdr>
        <w:top w:val="nil"/>
        <w:left w:val="nil"/>
        <w:bottom w:val="nil"/>
        <w:right w:val="nil"/>
        <w:between w:val="nil"/>
      </w:pBdr>
      <w:spacing w:after="0"/>
      <w:jc w:val="left"/>
      <w:rPr>
        <w:rFonts w:cs="Arial"/>
        <w:color w:val="000000"/>
        <w:sz w:val="16"/>
        <w:szCs w:val="16"/>
      </w:rPr>
    </w:pPr>
    <w:r>
      <w:rPr>
        <w:rFonts w:cs="Arial"/>
        <w:b/>
        <w:color w:val="000000"/>
        <w:sz w:val="16"/>
        <w:szCs w:val="16"/>
      </w:rPr>
      <w:t>Module 3.</w:t>
    </w:r>
    <w:r>
      <w:rPr>
        <w:rFonts w:cs="Arial"/>
        <w:color w:val="000000"/>
        <w:sz w:val="16"/>
        <w:szCs w:val="16"/>
      </w:rPr>
      <w:t xml:space="preserve"> Step 2. Sub-step 1. What to consider when setting the value of the transfer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43000" w14:textId="77777777" w:rsidR="00DF2A4D" w:rsidRDefault="00DF2A4D">
      <w:pPr>
        <w:spacing w:after="0"/>
      </w:pPr>
      <w:r>
        <w:separator/>
      </w:r>
    </w:p>
  </w:footnote>
  <w:footnote w:type="continuationSeparator" w:id="0">
    <w:p w14:paraId="0E5C5BEA" w14:textId="77777777" w:rsidR="00DF2A4D" w:rsidRDefault="00DF2A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F3C9" w14:textId="77777777" w:rsidR="00677BDB" w:rsidRDefault="00DF2A4D">
    <w:pPr>
      <w:pBdr>
        <w:top w:val="nil"/>
        <w:left w:val="nil"/>
        <w:bottom w:val="nil"/>
        <w:right w:val="nil"/>
        <w:between w:val="nil"/>
      </w:pBdr>
      <w:spacing w:after="0" w:line="288" w:lineRule="auto"/>
      <w:jc w:val="left"/>
      <w:rPr>
        <w:rFonts w:cs="Arial"/>
        <w:color w:val="000000"/>
        <w:sz w:val="16"/>
        <w:szCs w:val="16"/>
      </w:rPr>
    </w:pPr>
    <w:r>
      <w:rPr>
        <w:rFonts w:cs="Arial"/>
        <w:color w:val="DC281E"/>
        <w:sz w:val="16"/>
        <w:szCs w:val="16"/>
      </w:rPr>
      <w:t>International Red Cross and Red Crescent Movement</w:t>
    </w:r>
    <w:r>
      <w:rPr>
        <w:rFonts w:cs="Arial"/>
        <w:color w:val="FF0000"/>
        <w:sz w:val="16"/>
        <w:szCs w:val="16"/>
      </w:rPr>
      <w:t xml:space="preserve"> </w:t>
    </w:r>
    <w:r>
      <w:rPr>
        <w:rFonts w:cs="Arial"/>
        <w:b/>
        <w:color w:val="000000"/>
        <w:sz w:val="16"/>
        <w:szCs w:val="16"/>
      </w:rPr>
      <w:t>I</w:t>
    </w:r>
    <w:r>
      <w:rPr>
        <w:rFonts w:cs="Arial"/>
        <w:b/>
        <w:color w:val="FF0000"/>
        <w:sz w:val="16"/>
        <w:szCs w:val="16"/>
      </w:rPr>
      <w:t xml:space="preserve"> </w:t>
    </w:r>
    <w:r>
      <w:rPr>
        <w:rFonts w:cs="Arial"/>
        <w:b/>
        <w:color w:val="000000"/>
        <w:sz w:val="16"/>
        <w:szCs w:val="16"/>
      </w:rPr>
      <w:t>Cash in Emergencies Toolkit – FbF adaptation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4659E"/>
    <w:multiLevelType w:val="multilevel"/>
    <w:tmpl w:val="71EE2374"/>
    <w:lvl w:ilvl="0">
      <w:start w:val="1"/>
      <w:numFmt w:val="bullet"/>
      <w:lvlText w:val="●"/>
      <w:lvlJc w:val="left"/>
      <w:pPr>
        <w:ind w:left="1080" w:hanging="360"/>
      </w:pPr>
      <w:rPr>
        <w:rFonts w:ascii="Noto Sans Symbols" w:eastAsia="Noto Sans Symbols" w:hAnsi="Noto Sans Symbols" w:cs="Noto Sans Symbols"/>
        <w:b/>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7E73D4D"/>
    <w:multiLevelType w:val="multilevel"/>
    <w:tmpl w:val="FE780E7A"/>
    <w:lvl w:ilvl="0">
      <w:start w:val="1"/>
      <w:numFmt w:val="bullet"/>
      <w:lvlText w:val="●"/>
      <w:lvlJc w:val="left"/>
      <w:pPr>
        <w:ind w:left="720" w:hanging="360"/>
      </w:pPr>
      <w:rPr>
        <w:rFonts w:ascii="Noto Sans Symbols" w:eastAsia="Noto Sans Symbols" w:hAnsi="Noto Sans Symbols" w:cs="Noto Sans Symbols"/>
        <w:b/>
        <w:color w:val="DC281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3E0441"/>
    <w:multiLevelType w:val="multilevel"/>
    <w:tmpl w:val="E17A840C"/>
    <w:lvl w:ilvl="0">
      <w:start w:val="1"/>
      <w:numFmt w:val="decimal"/>
      <w:pStyle w:val="Bullet1"/>
      <w:lvlText w:val="%1."/>
      <w:lvlJc w:val="left"/>
      <w:pPr>
        <w:tabs>
          <w:tab w:val="num" w:pos="720"/>
        </w:tabs>
        <w:ind w:left="720" w:hanging="720"/>
      </w:pPr>
    </w:lvl>
    <w:lvl w:ilvl="1">
      <w:start w:val="1"/>
      <w:numFmt w:val="decimal"/>
      <w:pStyle w:val="ListNumber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DB"/>
    <w:rsid w:val="00677BDB"/>
    <w:rsid w:val="00DF2A4D"/>
    <w:rsid w:val="00E644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66B5"/>
  <w15:docId w15:val="{643AB135-EA9A-4374-97BA-F19D0642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3C4"/>
    <w:rPr>
      <w:rFonts w:cs="Times New Roman"/>
    </w:rPr>
  </w:style>
  <w:style w:type="paragraph" w:styleId="berschrift1">
    <w:name w:val="heading 1"/>
    <w:basedOn w:val="H1"/>
    <w:next w:val="Standard"/>
    <w:link w:val="berschrift1Zchn"/>
    <w:uiPriority w:val="9"/>
    <w:qFormat/>
    <w:rsid w:val="00E843C4"/>
  </w:style>
  <w:style w:type="paragraph" w:styleId="berschrift2">
    <w:name w:val="heading 2"/>
    <w:basedOn w:val="Standard"/>
    <w:next w:val="Standard"/>
    <w:link w:val="berschrift2Zchn"/>
    <w:uiPriority w:val="9"/>
    <w:semiHidden/>
    <w:unhideWhenUsed/>
    <w:qFormat/>
    <w:rsid w:val="00E843C4"/>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semiHidden/>
    <w:unhideWhenUsed/>
    <w:qFormat/>
    <w:rsid w:val="00E843C4"/>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table" w:styleId="Tabellenraster">
    <w:name w:val="Table Grid"/>
    <w:basedOn w:val="NormaleTabelle"/>
    <w:uiPriority w:val="59"/>
    <w:rsid w:val="00E843C4"/>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E843C4"/>
    <w:pPr>
      <w:spacing w:after="240"/>
      <w:ind w:left="720"/>
      <w:contextualSpacing/>
    </w:pPr>
    <w:rPr>
      <w:rFonts w:eastAsiaTheme="minorHAnsi" w:cstheme="minorBidi"/>
      <w:szCs w:val="22"/>
    </w:rPr>
  </w:style>
  <w:style w:type="paragraph" w:styleId="Kopfzeile">
    <w:name w:val="header"/>
    <w:basedOn w:val="Standard"/>
    <w:link w:val="KopfzeileZchn"/>
    <w:uiPriority w:val="99"/>
    <w:unhideWhenUsed/>
    <w:rsid w:val="00E843C4"/>
    <w:pPr>
      <w:spacing w:after="0" w:line="288" w:lineRule="auto"/>
      <w:jc w:val="left"/>
    </w:pPr>
    <w:rPr>
      <w:sz w:val="16"/>
    </w:rPr>
  </w:style>
  <w:style w:type="character" w:customStyle="1" w:styleId="KopfzeileZchn">
    <w:name w:val="Kopfzeile Zchn"/>
    <w:basedOn w:val="Absatz-Standardschriftart"/>
    <w:link w:val="Kopfzeile"/>
    <w:uiPriority w:val="99"/>
    <w:rsid w:val="00E843C4"/>
    <w:rPr>
      <w:rFonts w:ascii="Arial" w:hAnsi="Arial" w:cs="Times New Roman"/>
      <w:sz w:val="16"/>
    </w:rPr>
  </w:style>
  <w:style w:type="paragraph" w:styleId="Fuzeile">
    <w:name w:val="footer"/>
    <w:basedOn w:val="Standard"/>
    <w:link w:val="FuzeileZchn"/>
    <w:uiPriority w:val="99"/>
    <w:unhideWhenUsed/>
    <w:rsid w:val="00E843C4"/>
    <w:pPr>
      <w:spacing w:after="0"/>
      <w:jc w:val="left"/>
    </w:pPr>
    <w:rPr>
      <w:sz w:val="16"/>
      <w:szCs w:val="18"/>
    </w:rPr>
  </w:style>
  <w:style w:type="character" w:customStyle="1" w:styleId="FuzeileZchn">
    <w:name w:val="Fußzeile Zchn"/>
    <w:basedOn w:val="Absatz-Standardschriftart"/>
    <w:link w:val="Fuzeile"/>
    <w:uiPriority w:val="99"/>
    <w:rsid w:val="00E843C4"/>
    <w:rPr>
      <w:rFonts w:ascii="Arial" w:hAnsi="Arial" w:cs="Times New Roman"/>
      <w:sz w:val="16"/>
      <w:szCs w:val="18"/>
    </w:rPr>
  </w:style>
  <w:style w:type="character" w:styleId="Seitenzahl">
    <w:name w:val="page number"/>
    <w:basedOn w:val="Absatz-Standardschriftart"/>
    <w:uiPriority w:val="99"/>
    <w:unhideWhenUsed/>
    <w:rsid w:val="00E843C4"/>
    <w:rPr>
      <w:b/>
    </w:rPr>
  </w:style>
  <w:style w:type="character" w:styleId="Kommentarzeichen">
    <w:name w:val="annotation reference"/>
    <w:basedOn w:val="Absatz-Standardschriftart"/>
    <w:uiPriority w:val="99"/>
    <w:semiHidden/>
    <w:unhideWhenUsed/>
    <w:rsid w:val="00E843C4"/>
    <w:rPr>
      <w:sz w:val="18"/>
      <w:szCs w:val="18"/>
    </w:rPr>
  </w:style>
  <w:style w:type="paragraph" w:styleId="Kommentartext">
    <w:name w:val="annotation text"/>
    <w:basedOn w:val="Standard"/>
    <w:link w:val="KommentartextZchn"/>
    <w:uiPriority w:val="99"/>
    <w:semiHidden/>
    <w:unhideWhenUsed/>
    <w:rsid w:val="00C83B4D"/>
  </w:style>
  <w:style w:type="character" w:customStyle="1" w:styleId="KommentartextZchn">
    <w:name w:val="Kommentartext Zchn"/>
    <w:basedOn w:val="Absatz-Standardschriftart"/>
    <w:link w:val="Kommentartext"/>
    <w:uiPriority w:val="99"/>
    <w:semiHidden/>
    <w:rsid w:val="00C83B4D"/>
    <w:rPr>
      <w:lang w:val="en-GB"/>
    </w:rPr>
  </w:style>
  <w:style w:type="paragraph" w:styleId="Kommentarthema">
    <w:name w:val="annotation subject"/>
    <w:basedOn w:val="Standard"/>
    <w:link w:val="KommentarthemaZchn"/>
    <w:uiPriority w:val="99"/>
    <w:semiHidden/>
    <w:unhideWhenUsed/>
    <w:rsid w:val="00E843C4"/>
    <w:rPr>
      <w:b/>
      <w:bCs/>
    </w:rPr>
  </w:style>
  <w:style w:type="character" w:customStyle="1" w:styleId="KommentarthemaZchn">
    <w:name w:val="Kommentarthema Zchn"/>
    <w:basedOn w:val="Absatz-Standardschriftart"/>
    <w:link w:val="Kommentarthema"/>
    <w:uiPriority w:val="99"/>
    <w:semiHidden/>
    <w:rsid w:val="00E843C4"/>
    <w:rPr>
      <w:rFonts w:ascii="Arial" w:hAnsi="Arial" w:cs="Times New Roman"/>
      <w:b/>
      <w:bCs/>
    </w:rPr>
  </w:style>
  <w:style w:type="paragraph" w:styleId="Sprechblasentext">
    <w:name w:val="Balloon Text"/>
    <w:basedOn w:val="Standard"/>
    <w:link w:val="SprechblasentextZchn"/>
    <w:uiPriority w:val="99"/>
    <w:semiHidden/>
    <w:unhideWhenUsed/>
    <w:rsid w:val="00E843C4"/>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43C4"/>
    <w:rPr>
      <w:rFonts w:ascii="Lucida Grande" w:hAnsi="Lucida Grande" w:cs="Lucida Grande"/>
      <w:sz w:val="18"/>
      <w:szCs w:val="18"/>
    </w:rPr>
  </w:style>
  <w:style w:type="table" w:customStyle="1" w:styleId="Tablaconcuadrcula1">
    <w:name w:val="Tabla con cuadrícula1"/>
    <w:basedOn w:val="NormaleTabelle"/>
    <w:next w:val="Tabellenraster"/>
    <w:uiPriority w:val="59"/>
    <w:rsid w:val="00321BF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843C4"/>
    <w:rPr>
      <w:color w:val="0000FF" w:themeColor="hyperlink"/>
      <w:u w:val="single"/>
    </w:rPr>
  </w:style>
  <w:style w:type="paragraph" w:styleId="KeinLeerraum">
    <w:name w:val="No Spacing"/>
    <w:uiPriority w:val="1"/>
    <w:qFormat/>
    <w:rsid w:val="009142B0"/>
    <w:rPr>
      <w:lang w:val="en-GB"/>
    </w:rPr>
  </w:style>
  <w:style w:type="character" w:customStyle="1" w:styleId="berschrift1Zchn">
    <w:name w:val="Überschrift 1 Zchn"/>
    <w:basedOn w:val="Absatz-Standardschriftart"/>
    <w:link w:val="berschrift1"/>
    <w:uiPriority w:val="9"/>
    <w:rsid w:val="00E843C4"/>
    <w:rPr>
      <w:rFonts w:ascii="Arial" w:hAnsi="Arial" w:cs="Times New Roman"/>
      <w:b/>
      <w:sz w:val="40"/>
      <w:szCs w:val="52"/>
    </w:rPr>
  </w:style>
  <w:style w:type="character" w:customStyle="1" w:styleId="berschrift2Zchn">
    <w:name w:val="Überschrift 2 Zchn"/>
    <w:basedOn w:val="Absatz-Standardschriftart"/>
    <w:link w:val="berschrift2"/>
    <w:uiPriority w:val="9"/>
    <w:rsid w:val="00E843C4"/>
    <w:rPr>
      <w:rFonts w:ascii="Arial" w:hAnsi="Arial" w:cs="Times New Roman"/>
      <w:b/>
      <w:caps/>
      <w:sz w:val="24"/>
      <w:szCs w:val="26"/>
    </w:rPr>
  </w:style>
  <w:style w:type="character" w:customStyle="1" w:styleId="berschrift3Zchn">
    <w:name w:val="Überschrift 3 Zchn"/>
    <w:basedOn w:val="Absatz-Standardschriftart"/>
    <w:link w:val="berschrift3"/>
    <w:uiPriority w:val="9"/>
    <w:rsid w:val="00E843C4"/>
    <w:rPr>
      <w:rFonts w:ascii="Arial" w:hAnsi="Arial" w:cs="Times New Roman"/>
      <w:b/>
      <w:sz w:val="22"/>
      <w:szCs w:val="24"/>
    </w:rPr>
  </w:style>
  <w:style w:type="character" w:customStyle="1" w:styleId="ListenabsatzZchn">
    <w:name w:val="Listenabsatz Zchn"/>
    <w:basedOn w:val="Absatz-Standardschriftart"/>
    <w:link w:val="Listenabsatz"/>
    <w:uiPriority w:val="34"/>
    <w:rsid w:val="00E843C4"/>
    <w:rPr>
      <w:rFonts w:ascii="Arial" w:eastAsiaTheme="minorHAnsi" w:hAnsi="Arial" w:cstheme="minorBidi"/>
      <w:szCs w:val="22"/>
    </w:rPr>
  </w:style>
  <w:style w:type="paragraph" w:customStyle="1" w:styleId="Default">
    <w:name w:val="Default"/>
    <w:rsid w:val="00E843C4"/>
    <w:pPr>
      <w:widowControl w:val="0"/>
      <w:autoSpaceDE w:val="0"/>
      <w:autoSpaceDN w:val="0"/>
      <w:adjustRightInd w:val="0"/>
    </w:pPr>
    <w:rPr>
      <w:color w:val="000000"/>
      <w:sz w:val="24"/>
      <w:szCs w:val="24"/>
    </w:rPr>
  </w:style>
  <w:style w:type="character" w:styleId="BesuchterLink">
    <w:name w:val="FollowedHyperlink"/>
    <w:basedOn w:val="Absatz-Standardschriftart"/>
    <w:uiPriority w:val="99"/>
    <w:semiHidden/>
    <w:unhideWhenUsed/>
    <w:rsid w:val="00E843C4"/>
    <w:rPr>
      <w:color w:val="800080" w:themeColor="followedHyperlink"/>
      <w:u w:val="single"/>
    </w:rPr>
  </w:style>
  <w:style w:type="paragraph" w:styleId="Funotentext">
    <w:name w:val="footnote text"/>
    <w:basedOn w:val="Standard"/>
    <w:link w:val="FunotentextZchn"/>
    <w:uiPriority w:val="99"/>
    <w:unhideWhenUsed/>
    <w:rsid w:val="00E843C4"/>
    <w:pPr>
      <w:spacing w:after="0"/>
    </w:pPr>
    <w:rPr>
      <w:sz w:val="16"/>
      <w:szCs w:val="22"/>
    </w:rPr>
  </w:style>
  <w:style w:type="character" w:customStyle="1" w:styleId="FunotentextZchn">
    <w:name w:val="Fußnotentext Zchn"/>
    <w:basedOn w:val="Absatz-Standardschriftart"/>
    <w:link w:val="Funotentext"/>
    <w:uiPriority w:val="99"/>
    <w:rsid w:val="00E843C4"/>
    <w:rPr>
      <w:rFonts w:ascii="Arial" w:hAnsi="Arial" w:cs="Times New Roman"/>
      <w:sz w:val="16"/>
      <w:szCs w:val="22"/>
    </w:rPr>
  </w:style>
  <w:style w:type="character" w:styleId="Funotenzeichen">
    <w:name w:val="footnote reference"/>
    <w:basedOn w:val="Absatz-Standardschriftart"/>
    <w:uiPriority w:val="99"/>
    <w:unhideWhenUsed/>
    <w:rsid w:val="00E843C4"/>
    <w:rPr>
      <w:vertAlign w:val="superscript"/>
    </w:rPr>
  </w:style>
  <w:style w:type="paragraph" w:styleId="berarbeitung">
    <w:name w:val="Revision"/>
    <w:hidden/>
    <w:uiPriority w:val="99"/>
    <w:semiHidden/>
    <w:rsid w:val="00E843C4"/>
    <w:rPr>
      <w:sz w:val="21"/>
      <w:szCs w:val="21"/>
    </w:rPr>
  </w:style>
  <w:style w:type="paragraph" w:customStyle="1" w:styleId="BasicParagraph">
    <w:name w:val="[Basic Paragraph]"/>
    <w:basedOn w:val="Standard"/>
    <w:uiPriority w:val="99"/>
    <w:rsid w:val="00E843C4"/>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E843C4"/>
    <w:pPr>
      <w:spacing w:before="360" w:after="240"/>
      <w:jc w:val="left"/>
      <w:outlineLvl w:val="0"/>
    </w:pPr>
    <w:rPr>
      <w:b/>
      <w:sz w:val="40"/>
      <w:szCs w:val="52"/>
    </w:rPr>
  </w:style>
  <w:style w:type="paragraph" w:customStyle="1" w:styleId="Bullet1">
    <w:name w:val="Bullet 1"/>
    <w:basedOn w:val="Standard"/>
    <w:rsid w:val="00E843C4"/>
    <w:pPr>
      <w:numPr>
        <w:numId w:val="3"/>
      </w:numPr>
      <w:spacing w:before="60"/>
    </w:pPr>
    <w:rPr>
      <w:rFonts w:eastAsia="Times New Roman"/>
      <w:color w:val="000000"/>
    </w:rPr>
  </w:style>
  <w:style w:type="paragraph" w:customStyle="1" w:styleId="RefItem1">
    <w:name w:val="Ref Item 1"/>
    <w:basedOn w:val="Standard"/>
    <w:rsid w:val="00E843C4"/>
    <w:pPr>
      <w:jc w:val="left"/>
    </w:pPr>
    <w:rPr>
      <w:color w:val="000000"/>
      <w:szCs w:val="24"/>
      <w:lang w:eastAsia="it-IT"/>
    </w:rPr>
  </w:style>
  <w:style w:type="paragraph" w:customStyle="1" w:styleId="RefTitre">
    <w:name w:val="Ref Titre"/>
    <w:basedOn w:val="Standard"/>
    <w:rsid w:val="00E843C4"/>
    <w:pPr>
      <w:jc w:val="left"/>
    </w:pPr>
    <w:rPr>
      <w:rFonts w:eastAsia="Times New Roman"/>
      <w:b/>
      <w:bCs/>
      <w:sz w:val="26"/>
      <w:szCs w:val="26"/>
    </w:rPr>
  </w:style>
  <w:style w:type="paragraph" w:customStyle="1" w:styleId="Header1">
    <w:name w:val="Header 1"/>
    <w:basedOn w:val="Kopfzeile"/>
    <w:rsid w:val="00E843C4"/>
    <w:rPr>
      <w:b/>
      <w:sz w:val="24"/>
      <w:szCs w:val="24"/>
    </w:rPr>
  </w:style>
  <w:style w:type="character" w:customStyle="1" w:styleId="Pantone485">
    <w:name w:val="Pantone 485"/>
    <w:basedOn w:val="Absatz-Standardschriftart"/>
    <w:uiPriority w:val="1"/>
    <w:qFormat/>
    <w:rsid w:val="00E843C4"/>
    <w:rPr>
      <w:rFonts w:cs="Caecilia-Light"/>
      <w:color w:val="DC281E"/>
      <w:szCs w:val="16"/>
    </w:rPr>
  </w:style>
  <w:style w:type="character" w:customStyle="1" w:styleId="H1Char">
    <w:name w:val="H1 Char"/>
    <w:basedOn w:val="Absatz-Standardschriftart"/>
    <w:link w:val="H1"/>
    <w:rsid w:val="00E843C4"/>
    <w:rPr>
      <w:rFonts w:ascii="Arial" w:hAnsi="Arial" w:cs="Times New Roman"/>
      <w:b/>
      <w:sz w:val="40"/>
      <w:szCs w:val="52"/>
    </w:rPr>
  </w:style>
  <w:style w:type="table" w:customStyle="1" w:styleId="TableGray">
    <w:name w:val="Table Gray"/>
    <w:basedOn w:val="NormaleTabelle"/>
    <w:uiPriority w:val="99"/>
    <w:rsid w:val="00E843C4"/>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E843C4"/>
    <w:pPr>
      <w:tabs>
        <w:tab w:val="num" w:pos="720"/>
        <w:tab w:val="left" w:pos="7230"/>
      </w:tabs>
      <w:spacing w:before="120" w:after="120"/>
      <w:ind w:hanging="720"/>
      <w:contextualSpacing w:val="0"/>
    </w:pPr>
    <w:rPr>
      <w:rFonts w:cs="Arial"/>
    </w:rPr>
  </w:style>
  <w:style w:type="paragraph" w:customStyle="1" w:styleId="ListNumber1">
    <w:name w:val="List Number 1"/>
    <w:basedOn w:val="Standard"/>
    <w:rsid w:val="00E843C4"/>
    <w:pPr>
      <w:numPr>
        <w:ilvl w:val="1"/>
        <w:numId w:val="5"/>
      </w:numPr>
      <w:contextualSpacing/>
    </w:pPr>
    <w:rPr>
      <w:rFonts w:eastAsiaTheme="minorHAnsi" w:cstheme="minorHAnsi"/>
      <w:szCs w:val="22"/>
    </w:rPr>
  </w:style>
  <w:style w:type="paragraph" w:customStyle="1" w:styleId="NormalNo">
    <w:name w:val="Normal + No"/>
    <w:basedOn w:val="Standard"/>
    <w:qFormat/>
    <w:rsid w:val="00E843C4"/>
    <w:pPr>
      <w:tabs>
        <w:tab w:val="num" w:pos="720"/>
      </w:tabs>
      <w:ind w:left="720" w:hanging="720"/>
    </w:pPr>
    <w:rPr>
      <w:rFonts w:eastAsia="MS Mincho"/>
      <w:b/>
      <w:sz w:val="22"/>
    </w:rPr>
  </w:style>
  <w:style w:type="paragraph" w:customStyle="1" w:styleId="Bullet3">
    <w:name w:val="Bullet 3"/>
    <w:basedOn w:val="Listenabsatz"/>
    <w:qFormat/>
    <w:rsid w:val="00E843C4"/>
    <w:pPr>
      <w:tabs>
        <w:tab w:val="num" w:pos="720"/>
      </w:tabs>
      <w:spacing w:before="120" w:after="120"/>
      <w:ind w:right="425" w:hanging="720"/>
    </w:pPr>
    <w:rPr>
      <w:rFonts w:cs="Arial"/>
      <w:i/>
      <w:iCs/>
    </w:rPr>
  </w:style>
  <w:style w:type="paragraph" w:customStyle="1" w:styleId="Indent">
    <w:name w:val="Indent"/>
    <w:basedOn w:val="Standard"/>
    <w:qFormat/>
    <w:rsid w:val="00E843C4"/>
    <w:pPr>
      <w:ind w:left="567"/>
    </w:pPr>
    <w:rPr>
      <w:rFonts w:cs="Arial"/>
      <w:b/>
    </w:rPr>
  </w:style>
  <w:style w:type="paragraph" w:customStyle="1" w:styleId="TitreTableau">
    <w:name w:val="Titre Tableau"/>
    <w:basedOn w:val="Standard"/>
    <w:qFormat/>
    <w:rsid w:val="00E843C4"/>
    <w:pPr>
      <w:spacing w:before="120"/>
      <w:jc w:val="center"/>
    </w:pPr>
    <w:rPr>
      <w:rFonts w:cs="Arial"/>
      <w:b/>
      <w:bCs/>
      <w:color w:val="FFFFFF" w:themeColor="background1"/>
      <w:lang w:val="en-CA"/>
    </w:rPr>
  </w:style>
  <w:style w:type="paragraph" w:customStyle="1" w:styleId="BulletTableau">
    <w:name w:val="Bullet Tableau"/>
    <w:basedOn w:val="Bullet2"/>
    <w:qFormat/>
    <w:rsid w:val="00E843C4"/>
    <w:pPr>
      <w:keepNext/>
      <w:keepLines/>
      <w:framePr w:hSpace="141" w:wrap="around" w:vAnchor="text" w:hAnchor="margin" w:y="402"/>
      <w:spacing w:beforeLines="60" w:before="60" w:afterLines="20" w:after="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Pr>
      <w:rFonts w:ascii="Cambria" w:eastAsia="Cambria" w:hAnsi="Cambria" w:cs="Cambria"/>
      <w:sz w:val="22"/>
      <w:szCs w:val="22"/>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Ik4M3ZrY64WvDWtf/rNSlncQiQ==">AMUW2mXZf4UBb9Fgc6FWNFqsycUYqZp3ivsuTe8rbxdzQcuOsS5C/IT9Qz9aLZ2aJ2r9eeNNFJo+KrR+06CS3s/H5TW4BmHTMzNdLGy4S+PgAZCL4e2UcRkm/ccj36NxXHZjwaWd6IwF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2BAD2F6</Template>
  <TotalTime>0</TotalTime>
  <Pages>2</Pages>
  <Words>561</Words>
  <Characters>3536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Creti</dc:creator>
  <cp:lastModifiedBy>Franziska Waldvogel</cp:lastModifiedBy>
  <cp:revision>2</cp:revision>
  <dcterms:created xsi:type="dcterms:W3CDTF">2020-02-12T14:57:00Z</dcterms:created>
  <dcterms:modified xsi:type="dcterms:W3CDTF">2020-02-12T14:57:00Z</dcterms:modified>
</cp:coreProperties>
</file>