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9440FE" w:rsidRDefault="005C08AC">
      <w:pPr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Calculating the transfer value</w:t>
      </w:r>
    </w:p>
    <w:p w14:paraId="00000002" w14:textId="77777777" w:rsidR="009440FE" w:rsidRDefault="005C08AC">
      <w:pPr>
        <w:jc w:val="both"/>
      </w:pPr>
      <w:r>
        <w:t xml:space="preserve">This tool and guidance will provide an overview of the process to calculate the transfer value. </w:t>
      </w:r>
    </w:p>
    <w:p w14:paraId="00000003" w14:textId="77777777" w:rsidR="009440FE" w:rsidRDefault="005C08AC">
      <w:pPr>
        <w:jc w:val="both"/>
      </w:pPr>
      <w:r>
        <w:t>The process of setting the value of the transfer starts with the calculation of expenditures that the potential shock-affected population needs in order to meet the objective of the early action.</w:t>
      </w:r>
    </w:p>
    <w:p w14:paraId="00000004" w14:textId="77777777" w:rsidR="009440FE" w:rsidRDefault="005C08AC">
      <w:pPr>
        <w:jc w:val="both"/>
      </w:pPr>
      <w:r>
        <w:t xml:space="preserve">The tool </w:t>
      </w:r>
      <w:r>
        <w:rPr>
          <w:b/>
          <w:color w:val="00B0F0"/>
        </w:rPr>
        <w:t>[</w:t>
      </w:r>
      <w:hyperlink r:id="rId8">
        <w:r>
          <w:rPr>
            <w:b/>
            <w:color w:val="1155CC"/>
            <w:u w:val="single"/>
          </w:rPr>
          <w:t>TOOL 8.1_Transfer value quick calculation tool</w:t>
        </w:r>
      </w:hyperlink>
      <w:r>
        <w:rPr>
          <w:b/>
          <w:color w:val="00B0F0"/>
        </w:rPr>
        <w:t>]</w:t>
      </w:r>
      <w:r>
        <w:t xml:space="preserve"> can be used to determine the value of a multipurpose cash transfer.  </w:t>
      </w:r>
    </w:p>
    <w:p w14:paraId="00000005" w14:textId="77777777" w:rsidR="009440FE" w:rsidRDefault="005C08AC">
      <w:pPr>
        <w:jc w:val="both"/>
      </w:pPr>
      <w:bookmarkStart w:id="1" w:name="_heading=h.gjdgxs" w:colFirst="0" w:colLast="0"/>
      <w:bookmarkEnd w:id="1"/>
      <w:r>
        <w:t>When dealing with different modalities (e.g., cash for work) or with specific sectors (e.g. shelter, l</w:t>
      </w:r>
      <w:r>
        <w:t xml:space="preserve">ivelihoods), you may have to consider additional issues, some of which are listed in  </w:t>
      </w:r>
      <w:r>
        <w:rPr>
          <w:b/>
          <w:color w:val="00B0F0"/>
        </w:rPr>
        <w:t>[</w:t>
      </w:r>
      <w:hyperlink r:id="rId9">
        <w:r>
          <w:rPr>
            <w:b/>
            <w:color w:val="1155CC"/>
            <w:u w:val="single"/>
          </w:rPr>
          <w:t>TOOL 8.2_ Considerations on setting the value</w:t>
        </w:r>
      </w:hyperlink>
      <w:r>
        <w:rPr>
          <w:b/>
          <w:color w:val="00B0F0"/>
        </w:rPr>
        <w:t xml:space="preserve">] </w:t>
      </w:r>
    </w:p>
    <w:p w14:paraId="00000006" w14:textId="77777777" w:rsidR="009440FE" w:rsidRDefault="009440FE"/>
    <w:p w14:paraId="00000007" w14:textId="77777777" w:rsidR="009440FE" w:rsidRDefault="005C08AC">
      <w:pPr>
        <w:pStyle w:val="berschrift2"/>
      </w:pPr>
      <w:r>
        <w:t>MINIMUM STANDARDS</w:t>
      </w:r>
    </w:p>
    <w:p w14:paraId="00000008" w14:textId="77777777" w:rsidR="009440FE" w:rsidRDefault="005C08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120" w:line="240" w:lineRule="auto"/>
        <w:jc w:val="both"/>
        <w:rPr>
          <w:color w:val="000000"/>
        </w:rPr>
      </w:pPr>
      <w:r>
        <w:rPr>
          <w:color w:val="000000"/>
        </w:rPr>
        <w:t>When setting the</w:t>
      </w:r>
      <w:r>
        <w:rPr>
          <w:color w:val="000000"/>
        </w:rPr>
        <w:t xml:space="preserve"> value of the transfer, consider your objective of the early action and, when appropriate, align it to national standards.</w:t>
      </w:r>
    </w:p>
    <w:p w14:paraId="00000009" w14:textId="77777777" w:rsidR="009440FE" w:rsidRDefault="005C08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120" w:line="240" w:lineRule="auto"/>
        <w:jc w:val="both"/>
        <w:rPr>
          <w:color w:val="000000"/>
        </w:rPr>
      </w:pPr>
      <w:r>
        <w:rPr>
          <w:color w:val="000000"/>
        </w:rPr>
        <w:t>Involve stakeholders, particularly the government, humanitarian actors and local communities in the process of setting the value of t</w:t>
      </w:r>
      <w:r>
        <w:rPr>
          <w:color w:val="000000"/>
        </w:rPr>
        <w:t>he transfer.</w:t>
      </w:r>
    </w:p>
    <w:p w14:paraId="0000000A" w14:textId="77777777" w:rsidR="009440FE" w:rsidRDefault="005C08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120" w:line="240" w:lineRule="auto"/>
        <w:jc w:val="both"/>
        <w:rPr>
          <w:color w:val="000000"/>
        </w:rPr>
      </w:pPr>
      <w:r>
        <w:rPr>
          <w:color w:val="000000"/>
        </w:rPr>
        <w:t xml:space="preserve">When considering the amount, consider seasonal or anticipated price fluctuations if your action takes place during those periods. </w:t>
      </w:r>
    </w:p>
    <w:p w14:paraId="0000000B" w14:textId="77777777" w:rsidR="009440FE" w:rsidRDefault="005C08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120" w:line="240" w:lineRule="auto"/>
        <w:jc w:val="both"/>
        <w:rPr>
          <w:color w:val="000000"/>
        </w:rPr>
      </w:pPr>
      <w:r>
        <w:rPr>
          <w:color w:val="000000"/>
        </w:rPr>
        <w:t>Check on a regular basis whether calculated grant amount is still relevant (depreciation, fluctuation, inflation</w:t>
      </w:r>
      <w:r>
        <w:rPr>
          <w:color w:val="000000"/>
        </w:rPr>
        <w:t xml:space="preserve">, exchange rates, market changes, etc.). Revise and adjust the value if needed </w:t>
      </w:r>
      <w:r>
        <w:t>on an annual</w:t>
      </w:r>
      <w:r>
        <w:rPr>
          <w:color w:val="000000"/>
        </w:rPr>
        <w:t xml:space="preserve"> basis or after a </w:t>
      </w:r>
      <w:proofErr w:type="gramStart"/>
      <w:r>
        <w:rPr>
          <w:color w:val="000000"/>
        </w:rPr>
        <w:t>significant changes</w:t>
      </w:r>
      <w:proofErr w:type="gramEnd"/>
      <w:r>
        <w:rPr>
          <w:color w:val="000000"/>
        </w:rPr>
        <w:t xml:space="preserve"> in the economy of the country/</w:t>
      </w:r>
      <w:r>
        <w:t>r</w:t>
      </w:r>
      <w:r>
        <w:rPr>
          <w:color w:val="000000"/>
        </w:rPr>
        <w:t>egion.</w:t>
      </w:r>
    </w:p>
    <w:p w14:paraId="0000000C" w14:textId="77777777" w:rsidR="009440FE" w:rsidRDefault="005C08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120" w:line="240" w:lineRule="auto"/>
        <w:jc w:val="both"/>
        <w:rPr>
          <w:color w:val="000000"/>
        </w:rPr>
      </w:pPr>
      <w:r>
        <w:rPr>
          <w:color w:val="000000"/>
        </w:rPr>
        <w:t>When planning for adjustments to the value of the transfer, establish clear triggers, inc</w:t>
      </w:r>
      <w:r>
        <w:rPr>
          <w:color w:val="000000"/>
        </w:rPr>
        <w:t>lude a contingency budget line to accommodate changes, document the rationale and evidence behind the decision and share with the relevant stakeholders.</w:t>
      </w:r>
    </w:p>
    <w:p w14:paraId="0000000D" w14:textId="77777777" w:rsidR="009440FE" w:rsidRDefault="005C08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120" w:line="240" w:lineRule="auto"/>
        <w:jc w:val="both"/>
        <w:rPr>
          <w:color w:val="000000"/>
        </w:rPr>
      </w:pPr>
      <w:r>
        <w:rPr>
          <w:color w:val="000000"/>
        </w:rPr>
        <w:t>When calculating the value of the transfer, also consider potential costs associated to participants to</w:t>
      </w:r>
      <w:r>
        <w:rPr>
          <w:color w:val="000000"/>
        </w:rPr>
        <w:t xml:space="preserve"> access the transfer (i.e. transport to distribution site, fees, etc.). This amount should be included in the overall amount of the grant value.</w:t>
      </w:r>
    </w:p>
    <w:p w14:paraId="0000000E" w14:textId="77777777" w:rsidR="009440FE" w:rsidRDefault="005C08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120" w:line="240" w:lineRule="auto"/>
        <w:jc w:val="both"/>
        <w:rPr>
          <w:color w:val="000000"/>
        </w:rPr>
      </w:pPr>
      <w:r>
        <w:rPr>
          <w:color w:val="000000"/>
        </w:rPr>
        <w:t>When relevant, seek harmonization with existing shock reactive safety nets or social/welfare assistance availab</w:t>
      </w:r>
      <w:r>
        <w:rPr>
          <w:color w:val="000000"/>
        </w:rPr>
        <w:t xml:space="preserve">le for the most vulnerable families, to avoid conflicts with existing social protection initiatives; or even better, try to reinforce or adapt them to humanitarian contexts. </w:t>
      </w:r>
    </w:p>
    <w:p w14:paraId="0000000F" w14:textId="77777777" w:rsidR="009440FE" w:rsidRDefault="005C08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120" w:line="240" w:lineRule="auto"/>
        <w:jc w:val="both"/>
        <w:rPr>
          <w:color w:val="000000"/>
        </w:rPr>
      </w:pPr>
      <w:r>
        <w:rPr>
          <w:color w:val="000000"/>
        </w:rPr>
        <w:t>When setting the wages for a Cash for Work (</w:t>
      </w:r>
      <w:proofErr w:type="spellStart"/>
      <w:r>
        <w:rPr>
          <w:color w:val="000000"/>
        </w:rPr>
        <w:t>CfW</w:t>
      </w:r>
      <w:proofErr w:type="spellEnd"/>
      <w:r>
        <w:rPr>
          <w:color w:val="000000"/>
        </w:rPr>
        <w:t xml:space="preserve">), consider the local rates for </w:t>
      </w:r>
      <w:proofErr w:type="spellStart"/>
      <w:r>
        <w:rPr>
          <w:color w:val="000000"/>
        </w:rPr>
        <w:t>la</w:t>
      </w:r>
      <w:r>
        <w:rPr>
          <w:color w:val="000000"/>
        </w:rPr>
        <w:t>bour</w:t>
      </w:r>
      <w:proofErr w:type="spellEnd"/>
      <w:r>
        <w:rPr>
          <w:color w:val="000000"/>
        </w:rPr>
        <w:t xml:space="preserve"> payment, and relevant national legislation/taxation </w:t>
      </w:r>
    </w:p>
    <w:p w14:paraId="00000010" w14:textId="77777777" w:rsidR="009440FE" w:rsidRDefault="009440FE"/>
    <w:p w14:paraId="00000011" w14:textId="77777777" w:rsidR="009440FE" w:rsidRDefault="009440FE"/>
    <w:sectPr w:rsidR="009440FE">
      <w:headerReference w:type="default" r:id="rId10"/>
      <w:pgSz w:w="11906" w:h="16838"/>
      <w:pgMar w:top="1417" w:right="1417" w:bottom="1134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04DA0" w14:textId="77777777" w:rsidR="005C08AC" w:rsidRDefault="005C08AC">
      <w:pPr>
        <w:spacing w:after="0" w:line="240" w:lineRule="auto"/>
      </w:pPr>
      <w:r>
        <w:separator/>
      </w:r>
    </w:p>
  </w:endnote>
  <w:endnote w:type="continuationSeparator" w:id="0">
    <w:p w14:paraId="60493F1C" w14:textId="77777777" w:rsidR="005C08AC" w:rsidRDefault="005C0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ecilia-Light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84E35" w14:textId="77777777" w:rsidR="005C08AC" w:rsidRDefault="005C08AC">
      <w:pPr>
        <w:spacing w:after="0" w:line="240" w:lineRule="auto"/>
      </w:pPr>
      <w:r>
        <w:separator/>
      </w:r>
    </w:p>
  </w:footnote>
  <w:footnote w:type="continuationSeparator" w:id="0">
    <w:p w14:paraId="020A8998" w14:textId="77777777" w:rsidR="005C08AC" w:rsidRDefault="005C0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2" w14:textId="77777777" w:rsidR="009440FE" w:rsidRDefault="005C08AC">
    <w:pPr>
      <w:pBdr>
        <w:top w:val="nil"/>
        <w:left w:val="nil"/>
        <w:bottom w:val="nil"/>
        <w:right w:val="nil"/>
        <w:between w:val="nil"/>
      </w:pBdr>
      <w:spacing w:after="0" w:line="288" w:lineRule="auto"/>
      <w:rPr>
        <w:rFonts w:ascii="Arial" w:eastAsia="Arial" w:hAnsi="Arial" w:cs="Arial"/>
        <w:color w:val="4A86E8"/>
        <w:sz w:val="16"/>
        <w:szCs w:val="16"/>
      </w:rPr>
    </w:pPr>
    <w:r>
      <w:rPr>
        <w:rFonts w:ascii="Arial" w:eastAsia="Arial" w:hAnsi="Arial" w:cs="Arial"/>
        <w:color w:val="DC281E"/>
        <w:sz w:val="16"/>
        <w:szCs w:val="16"/>
      </w:rPr>
      <w:t>International Red Cross and Red Crescent Movement</w:t>
    </w:r>
    <w:r>
      <w:rPr>
        <w:rFonts w:ascii="Arial" w:eastAsia="Arial" w:hAnsi="Arial" w:cs="Arial"/>
        <w:color w:val="FF0000"/>
        <w:sz w:val="16"/>
        <w:szCs w:val="16"/>
      </w:rPr>
      <w:t xml:space="preserve"> </w:t>
    </w:r>
    <w:r>
      <w:rPr>
        <w:rFonts w:ascii="Arial" w:eastAsia="Arial" w:hAnsi="Arial" w:cs="Arial"/>
        <w:b/>
        <w:color w:val="000000"/>
        <w:sz w:val="16"/>
        <w:szCs w:val="16"/>
      </w:rPr>
      <w:t>I</w:t>
    </w:r>
    <w:r>
      <w:rPr>
        <w:rFonts w:ascii="Arial" w:eastAsia="Arial" w:hAnsi="Arial" w:cs="Arial"/>
        <w:b/>
        <w:color w:val="FF0000"/>
        <w:sz w:val="16"/>
        <w:szCs w:val="16"/>
      </w:rPr>
      <w:t xml:space="preserve"> </w:t>
    </w:r>
    <w:r>
      <w:rPr>
        <w:rFonts w:ascii="Arial" w:eastAsia="Arial" w:hAnsi="Arial" w:cs="Arial"/>
        <w:b/>
        <w:color w:val="000000"/>
        <w:sz w:val="16"/>
        <w:szCs w:val="16"/>
      </w:rPr>
      <w:t xml:space="preserve">Cash in Emergencies Toolkit – </w:t>
    </w:r>
    <w:proofErr w:type="spellStart"/>
    <w:r>
      <w:rPr>
        <w:rFonts w:ascii="Arial" w:eastAsia="Arial" w:hAnsi="Arial" w:cs="Arial"/>
        <w:b/>
        <w:color w:val="4A86E8"/>
        <w:sz w:val="16"/>
        <w:szCs w:val="16"/>
      </w:rPr>
      <w:t>FbF</w:t>
    </w:r>
    <w:proofErr w:type="spellEnd"/>
    <w:r>
      <w:rPr>
        <w:rFonts w:ascii="Arial" w:eastAsia="Arial" w:hAnsi="Arial" w:cs="Arial"/>
        <w:b/>
        <w:color w:val="4A86E8"/>
        <w:sz w:val="16"/>
        <w:szCs w:val="16"/>
      </w:rPr>
      <w:t xml:space="preserve"> adaptation</w:t>
    </w:r>
  </w:p>
  <w:p w14:paraId="00000013" w14:textId="77777777" w:rsidR="009440FE" w:rsidRDefault="009440FE">
    <w:pPr>
      <w:pBdr>
        <w:top w:val="nil"/>
        <w:left w:val="nil"/>
        <w:bottom w:val="nil"/>
        <w:right w:val="nil"/>
        <w:between w:val="nil"/>
      </w:pBdr>
      <w:spacing w:after="0" w:line="288" w:lineRule="auto"/>
      <w:rPr>
        <w:rFonts w:ascii="Arial" w:eastAsia="Arial" w:hAnsi="Arial" w:cs="Arial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A71CA"/>
    <w:multiLevelType w:val="multilevel"/>
    <w:tmpl w:val="5B88EF78"/>
    <w:lvl w:ilvl="0">
      <w:start w:val="1"/>
      <w:numFmt w:val="bullet"/>
      <w:pStyle w:val="Bullet1"/>
      <w:lvlText w:val="🗹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0FE"/>
    <w:rsid w:val="005C08AC"/>
    <w:rsid w:val="008F59CD"/>
    <w:rsid w:val="0094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DC282E-FEE5-4EA9-A4C8-F42B4DBA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778A6"/>
    <w:pPr>
      <w:keepNext/>
      <w:pBdr>
        <w:top w:val="single" w:sz="4" w:space="11" w:color="auto"/>
      </w:pBdr>
      <w:spacing w:before="240" w:after="240" w:line="240" w:lineRule="auto"/>
      <w:outlineLvl w:val="1"/>
    </w:pPr>
    <w:rPr>
      <w:rFonts w:ascii="Arial" w:eastAsiaTheme="minorEastAsia" w:hAnsi="Arial" w:cs="Times New Roman"/>
      <w:b/>
      <w:caps/>
      <w:sz w:val="24"/>
      <w:szCs w:val="26"/>
      <w:shd w:val="clear" w:color="auto" w:fill="FFFFFF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E50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778A6"/>
    <w:rPr>
      <w:rFonts w:ascii="Arial" w:eastAsiaTheme="minorEastAsia" w:hAnsi="Arial" w:cs="Times New Roman"/>
      <w:b/>
      <w:caps/>
      <w:sz w:val="24"/>
      <w:szCs w:val="26"/>
      <w:lang w:val="en-US"/>
    </w:rPr>
  </w:style>
  <w:style w:type="paragraph" w:customStyle="1" w:styleId="Bullet1">
    <w:name w:val="Bullet 1"/>
    <w:basedOn w:val="Standard"/>
    <w:rsid w:val="005778A6"/>
    <w:pPr>
      <w:numPr>
        <w:numId w:val="1"/>
      </w:numPr>
      <w:spacing w:before="60" w:after="120" w:line="240" w:lineRule="auto"/>
      <w:jc w:val="both"/>
    </w:pPr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E508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fzeile">
    <w:name w:val="header"/>
    <w:basedOn w:val="Standard"/>
    <w:link w:val="KopfzeileZchn"/>
    <w:uiPriority w:val="99"/>
    <w:unhideWhenUsed/>
    <w:rsid w:val="00684A91"/>
    <w:pPr>
      <w:spacing w:after="0" w:line="288" w:lineRule="auto"/>
    </w:pPr>
    <w:rPr>
      <w:rFonts w:ascii="Arial" w:eastAsiaTheme="minorEastAsia" w:hAnsi="Arial" w:cs="Times New Roman"/>
      <w:sz w:val="16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684A91"/>
    <w:rPr>
      <w:rFonts w:ascii="Arial" w:eastAsiaTheme="minorEastAsia" w:hAnsi="Arial" w:cs="Times New Roman"/>
      <w:sz w:val="16"/>
      <w:szCs w:val="20"/>
      <w:lang w:val="en-US"/>
    </w:rPr>
  </w:style>
  <w:style w:type="character" w:styleId="Seitenzahl">
    <w:name w:val="page number"/>
    <w:basedOn w:val="Absatz-Standardschriftart"/>
    <w:uiPriority w:val="99"/>
    <w:unhideWhenUsed/>
    <w:rsid w:val="00684A91"/>
    <w:rPr>
      <w:b/>
    </w:rPr>
  </w:style>
  <w:style w:type="character" w:customStyle="1" w:styleId="Pantone485">
    <w:name w:val="Pantone 485"/>
    <w:basedOn w:val="Absatz-Standardschriftart"/>
    <w:uiPriority w:val="1"/>
    <w:qFormat/>
    <w:rsid w:val="00684A91"/>
    <w:rPr>
      <w:rFonts w:cs="Caecilia-Light"/>
      <w:color w:val="DC281E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684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4A91"/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CTNfNYV80xsES9kR5QSKkbzVO8-0Tf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open?id=1A0BtNzeuUoch6pUXhaaUa-46U4NKVY2h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sFVHYoDsJaEy069iYZsay9+LaQ==">AMUW2mVwfS5Uc8TIqDzaPaG4JjHEmaqacisUh+5k5QClvtCmdY6Z82SzKxRKV2J0dFKg3mvnYq9O1cXSKkaYw2VImiYM1CZUj6hBskmCHZWQggwMHeLI9VBymqnwK+DQut+JhY0+ULcJ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690AC086</Template>
  <TotalTime>0</TotalTime>
  <Pages>1</Pages>
  <Words>341</Words>
  <Characters>2151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Mareike Tobiassen</dc:creator>
  <cp:lastModifiedBy>Franziska Waldvogel</cp:lastModifiedBy>
  <cp:revision>2</cp:revision>
  <dcterms:created xsi:type="dcterms:W3CDTF">2020-02-12T14:55:00Z</dcterms:created>
  <dcterms:modified xsi:type="dcterms:W3CDTF">2020-02-12T14:55:00Z</dcterms:modified>
</cp:coreProperties>
</file>