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5BCDA" w14:textId="77777777" w:rsidR="00B53669" w:rsidRDefault="00B45E48">
      <w:pPr>
        <w:pBdr>
          <w:top w:val="nil"/>
          <w:left w:val="nil"/>
          <w:bottom w:val="nil"/>
          <w:right w:val="nil"/>
          <w:between w:val="nil"/>
        </w:pBdr>
        <w:spacing w:before="360" w:after="240"/>
        <w:jc w:val="left"/>
        <w:rPr>
          <w:rFonts w:eastAsia="Arial" w:cs="Arial"/>
          <w:b/>
          <w:color w:val="000000"/>
          <w:sz w:val="40"/>
          <w:szCs w:val="40"/>
        </w:rPr>
      </w:pPr>
      <w:bookmarkStart w:id="0" w:name="_GoBack"/>
      <w:bookmarkEnd w:id="0"/>
      <w:r>
        <w:rPr>
          <w:rFonts w:eastAsia="Arial" w:cs="Arial"/>
          <w:b/>
          <w:color w:val="000000"/>
          <w:sz w:val="40"/>
          <w:szCs w:val="40"/>
        </w:rPr>
        <w:t>Roadmap for rapid market assessment baseline</w:t>
      </w:r>
    </w:p>
    <w:p w14:paraId="072ADF80" w14:textId="77777777" w:rsidR="00B53669" w:rsidRDefault="00B45E48">
      <w:pPr>
        <w:ind w:left="-170"/>
        <w:rPr>
          <w:sz w:val="22"/>
          <w:szCs w:val="22"/>
        </w:rPr>
      </w:pPr>
      <w:r>
        <w:rPr>
          <w:noProof/>
          <w:sz w:val="22"/>
          <w:szCs w:val="22"/>
        </w:rPr>
        <w:drawing>
          <wp:inline distT="0" distB="0" distL="0" distR="0" wp14:anchorId="6183C850" wp14:editId="17A88486">
            <wp:extent cx="6357685" cy="3172789"/>
            <wp:effectExtent l="0" t="0" r="0" b="0"/>
            <wp:docPr id="9" name="image2.jpg" descr="02-Assessment-rodmap-EN3"/>
            <wp:cNvGraphicFramePr/>
            <a:graphic xmlns:a="http://schemas.openxmlformats.org/drawingml/2006/main">
              <a:graphicData uri="http://schemas.openxmlformats.org/drawingml/2006/picture">
                <pic:pic xmlns:pic="http://schemas.openxmlformats.org/drawingml/2006/picture">
                  <pic:nvPicPr>
                    <pic:cNvPr id="0" name="image2.jpg" descr="02-Assessment-rodmap-EN3"/>
                    <pic:cNvPicPr preferRelativeResize="0"/>
                  </pic:nvPicPr>
                  <pic:blipFill>
                    <a:blip r:embed="rId8"/>
                    <a:srcRect/>
                    <a:stretch>
                      <a:fillRect/>
                    </a:stretch>
                  </pic:blipFill>
                  <pic:spPr>
                    <a:xfrm>
                      <a:off x="0" y="0"/>
                      <a:ext cx="6357685" cy="3172789"/>
                    </a:xfrm>
                    <a:prstGeom prst="rect">
                      <a:avLst/>
                    </a:prstGeom>
                    <a:ln/>
                  </pic:spPr>
                </pic:pic>
              </a:graphicData>
            </a:graphic>
          </wp:inline>
        </w:drawing>
      </w:r>
    </w:p>
    <w:p w14:paraId="12CCDEFC" w14:textId="77777777" w:rsidR="00B53669" w:rsidRDefault="00B53669">
      <w:pPr>
        <w:pStyle w:val="berschrift2"/>
        <w:rPr>
          <w:rFonts w:ascii="Calibri" w:eastAsia="Calibri" w:hAnsi="Calibri" w:cs="Calibri"/>
        </w:rPr>
      </w:pPr>
    </w:p>
    <w:p w14:paraId="589326D6" w14:textId="77777777" w:rsidR="00B53669" w:rsidRDefault="00B45E48">
      <w:pPr>
        <w:pStyle w:val="berschrift2"/>
        <w:rPr>
          <w:rFonts w:ascii="Calibri" w:eastAsia="Calibri" w:hAnsi="Calibri" w:cs="Calibri"/>
        </w:rPr>
      </w:pPr>
      <w:r>
        <w:rPr>
          <w:rFonts w:ascii="Calibri" w:eastAsia="Calibri" w:hAnsi="Calibri" w:cs="Calibri"/>
        </w:rPr>
        <w:t>INTRODUCTION</w:t>
      </w:r>
    </w:p>
    <w:p w14:paraId="2045CFE9" w14:textId="77777777" w:rsidR="00B53669" w:rsidRDefault="00B45E48">
      <w:pPr>
        <w:rPr>
          <w:rFonts w:ascii="Calibri" w:eastAsia="Calibri" w:hAnsi="Calibri" w:cs="Calibri"/>
        </w:rPr>
      </w:pPr>
      <w:r>
        <w:rPr>
          <w:rFonts w:ascii="Calibri" w:eastAsia="Calibri" w:hAnsi="Calibri" w:cs="Calibri"/>
        </w:rPr>
        <w:t>In emergencies, market assessments can help to understand the market capacity to supply the shock-affected population with priority commodities and services. They can also help you understand the risks of potential interventions causing harm and how to sup</w:t>
      </w:r>
      <w:r>
        <w:rPr>
          <w:rFonts w:ascii="Calibri" w:eastAsia="Calibri" w:hAnsi="Calibri" w:cs="Calibri"/>
        </w:rPr>
        <w:t>port recovery. This road map will assist you to move through the process of conducting a rapid market assessment after a shock.</w:t>
      </w:r>
    </w:p>
    <w:p w14:paraId="3145F443" w14:textId="77777777" w:rsidR="00B53669" w:rsidRDefault="00B53669">
      <w:pPr>
        <w:rPr>
          <w:rFonts w:ascii="Calibri" w:eastAsia="Calibri" w:hAnsi="Calibri" w:cs="Calibri"/>
        </w:rPr>
      </w:pPr>
    </w:p>
    <w:p w14:paraId="63B88747" w14:textId="77777777" w:rsidR="00B53669" w:rsidRDefault="00B45E48">
      <w:pPr>
        <w:rPr>
          <w:rFonts w:ascii="Calibri" w:eastAsia="Calibri" w:hAnsi="Calibri" w:cs="Calibri"/>
        </w:rPr>
      </w:pPr>
      <w:r>
        <w:rPr>
          <w:rFonts w:ascii="Calibri" w:eastAsia="Calibri" w:hAnsi="Calibri" w:cs="Calibri"/>
        </w:rPr>
        <w:t xml:space="preserve">The rapid market assessment process has been divided into three sub-steps. The first sub-step guides you through the selection </w:t>
      </w:r>
      <w:r>
        <w:rPr>
          <w:rFonts w:ascii="Calibri" w:eastAsia="Calibri" w:hAnsi="Calibri" w:cs="Calibri"/>
        </w:rPr>
        <w:t>of commodities and marketplaces to be assessed. The second sub-step supports the collection and consolidation of relevant information from the selected marketplaces. The third sub-step guides your analysis and conclusions on the market capacity.</w:t>
      </w:r>
    </w:p>
    <w:p w14:paraId="392A9FEF" w14:textId="77777777" w:rsidR="00B53669" w:rsidRDefault="00B53669">
      <w:pPr>
        <w:rPr>
          <w:rFonts w:ascii="Calibri" w:eastAsia="Calibri" w:hAnsi="Calibri" w:cs="Calibri"/>
        </w:rPr>
      </w:pPr>
    </w:p>
    <w:p w14:paraId="3346784E" w14:textId="77777777" w:rsidR="00B53669" w:rsidRDefault="00B45E48">
      <w:pPr>
        <w:rPr>
          <w:rFonts w:ascii="Calibri" w:eastAsia="Calibri" w:hAnsi="Calibri" w:cs="Calibri"/>
        </w:rPr>
      </w:pPr>
      <w:r>
        <w:rPr>
          <w:rFonts w:ascii="Calibri" w:eastAsia="Calibri" w:hAnsi="Calibri" w:cs="Calibri"/>
        </w:rPr>
        <w:t>The proce</w:t>
      </w:r>
      <w:r>
        <w:rPr>
          <w:rFonts w:ascii="Calibri" w:eastAsia="Calibri" w:hAnsi="Calibri" w:cs="Calibri"/>
        </w:rPr>
        <w:t xml:space="preserve">ss and tools suggested here have been taken from the </w:t>
      </w:r>
      <w:hyperlink r:id="rId9">
        <w:r>
          <w:rPr>
            <w:rFonts w:ascii="Calibri" w:eastAsia="Calibri" w:hAnsi="Calibri" w:cs="Calibri"/>
            <w:color w:val="1155CC"/>
            <w:u w:val="single"/>
          </w:rPr>
          <w:t>Rapid Assessment of Market</w:t>
        </w:r>
        <w:r>
          <w:rPr>
            <w:rFonts w:ascii="Calibri" w:eastAsia="Calibri" w:hAnsi="Calibri" w:cs="Calibri"/>
            <w:color w:val="1155CC"/>
            <w:u w:val="single"/>
          </w:rPr>
          <w:t>s (RAM)</w:t>
        </w:r>
      </w:hyperlink>
      <w:r>
        <w:rPr>
          <w:rFonts w:ascii="Calibri" w:eastAsia="Calibri" w:hAnsi="Calibri" w:cs="Calibri"/>
          <w:vertAlign w:val="superscript"/>
        </w:rPr>
        <w:footnoteReference w:id="1"/>
      </w:r>
      <w:r>
        <w:rPr>
          <w:rFonts w:ascii="Calibri" w:eastAsia="Calibri" w:hAnsi="Calibri" w:cs="Calibri"/>
        </w:rPr>
        <w:t xml:space="preserve">. You can choose to follow the RAM or, if time and resources allow, another in-depth approach, like the </w:t>
      </w:r>
      <w:hyperlink r:id="rId10">
        <w:r>
          <w:rPr>
            <w:rFonts w:ascii="Calibri" w:eastAsia="Calibri" w:hAnsi="Calibri" w:cs="Calibri"/>
            <w:color w:val="1155CC"/>
            <w:u w:val="single"/>
          </w:rPr>
          <w:t>Market Assessment Guidance (MAG)</w:t>
        </w:r>
      </w:hyperlink>
      <w:r>
        <w:rPr>
          <w:rFonts w:ascii="Calibri" w:eastAsia="Calibri" w:hAnsi="Calibri" w:cs="Calibri"/>
        </w:rPr>
        <w:t xml:space="preserve"> or </w:t>
      </w:r>
      <w:hyperlink r:id="rId11">
        <w:r>
          <w:rPr>
            <w:rFonts w:ascii="Calibri" w:eastAsia="Calibri" w:hAnsi="Calibri" w:cs="Calibri"/>
            <w:color w:val="1155CC"/>
            <w:u w:val="single"/>
          </w:rPr>
          <w:t>EMMA</w:t>
        </w:r>
      </w:hyperlink>
      <w:r>
        <w:rPr>
          <w:rFonts w:ascii="Calibri" w:eastAsia="Calibri" w:hAnsi="Calibri" w:cs="Calibri"/>
        </w:rPr>
        <w:t xml:space="preserve">. In the reference documents suggested at the end of the road map, you will find the RAM guidelines and other market assessment approaches from which you can choose. </w:t>
      </w:r>
    </w:p>
    <w:p w14:paraId="31821211" w14:textId="77777777" w:rsidR="00B53669" w:rsidRDefault="00B45E48">
      <w:pPr>
        <w:pStyle w:val="berschrift2"/>
        <w:keepLines/>
        <w:rPr>
          <w:rFonts w:ascii="Calibri" w:eastAsia="Calibri" w:hAnsi="Calibri" w:cs="Calibri"/>
          <w:sz w:val="20"/>
          <w:szCs w:val="20"/>
        </w:rPr>
      </w:pPr>
      <w:r>
        <w:rPr>
          <w:rFonts w:ascii="Calibri" w:eastAsia="Calibri" w:hAnsi="Calibri" w:cs="Calibri"/>
          <w:sz w:val="20"/>
          <w:szCs w:val="20"/>
        </w:rPr>
        <w:lastRenderedPageBreak/>
        <w:t>MINIMUM STANDARDS</w:t>
      </w:r>
    </w:p>
    <w:p w14:paraId="65FBE5D3" w14:textId="77777777" w:rsidR="00B53669" w:rsidRDefault="00B45E48">
      <w:pPr>
        <w:keepNext/>
        <w:keepLines/>
        <w:numPr>
          <w:ilvl w:val="0"/>
          <w:numId w:val="2"/>
        </w:numPr>
        <w:pBdr>
          <w:top w:val="nil"/>
          <w:left w:val="nil"/>
          <w:bottom w:val="nil"/>
          <w:right w:val="nil"/>
          <w:between w:val="nil"/>
        </w:pBdr>
        <w:spacing w:before="60"/>
        <w:rPr>
          <w:rFonts w:ascii="Calibri" w:eastAsia="Calibri" w:hAnsi="Calibri" w:cs="Calibri"/>
          <w:color w:val="000000"/>
        </w:rPr>
      </w:pPr>
      <w:r>
        <w:rPr>
          <w:rFonts w:ascii="Calibri" w:eastAsia="Calibri" w:hAnsi="Calibri" w:cs="Calibri"/>
          <w:color w:val="000000"/>
        </w:rPr>
        <w:t>When conducting a market assessment, adopt a multi-sector approach, focusing on commodities, services and markets that are central to the early action objectives (i.e. households’ priority needs, livelihoods, livestock protection, shelter improvements, etc</w:t>
      </w:r>
      <w:r>
        <w:rPr>
          <w:rFonts w:ascii="Calibri" w:eastAsia="Calibri" w:hAnsi="Calibri" w:cs="Calibri"/>
          <w:color w:val="000000"/>
        </w:rPr>
        <w:t>.)</w:t>
      </w:r>
    </w:p>
    <w:p w14:paraId="0BACACB8" w14:textId="77777777" w:rsidR="00B53669" w:rsidRDefault="00B45E48">
      <w:pPr>
        <w:keepNext/>
        <w:keepLines/>
        <w:numPr>
          <w:ilvl w:val="0"/>
          <w:numId w:val="2"/>
        </w:numPr>
        <w:pBdr>
          <w:top w:val="nil"/>
          <w:left w:val="nil"/>
          <w:bottom w:val="nil"/>
          <w:right w:val="nil"/>
          <w:between w:val="nil"/>
        </w:pBdr>
        <w:spacing w:before="60"/>
        <w:rPr>
          <w:rFonts w:ascii="Calibri" w:eastAsia="Calibri" w:hAnsi="Calibri" w:cs="Calibri"/>
          <w:color w:val="000000"/>
        </w:rPr>
      </w:pPr>
      <w:r>
        <w:rPr>
          <w:rFonts w:ascii="Calibri" w:eastAsia="Calibri" w:hAnsi="Calibri" w:cs="Calibri"/>
          <w:color w:val="000000"/>
        </w:rPr>
        <w:t>Base your analysis on secondary data, and on first-hand information from the target population and other key market informants. Always triangulate the information obtained</w:t>
      </w:r>
    </w:p>
    <w:p w14:paraId="7A6AB2E2" w14:textId="77777777" w:rsidR="00B53669" w:rsidRDefault="00B45E48">
      <w:pPr>
        <w:numPr>
          <w:ilvl w:val="0"/>
          <w:numId w:val="2"/>
        </w:numPr>
        <w:pBdr>
          <w:top w:val="nil"/>
          <w:left w:val="nil"/>
          <w:bottom w:val="nil"/>
          <w:right w:val="nil"/>
          <w:between w:val="nil"/>
        </w:pBdr>
        <w:spacing w:before="60"/>
        <w:rPr>
          <w:rFonts w:ascii="Calibri" w:eastAsia="Calibri" w:hAnsi="Calibri" w:cs="Calibri"/>
          <w:color w:val="000000"/>
        </w:rPr>
      </w:pPr>
      <w:r>
        <w:rPr>
          <w:rFonts w:ascii="Calibri" w:eastAsia="Calibri" w:hAnsi="Calibri" w:cs="Calibri"/>
          <w:color w:val="000000"/>
        </w:rPr>
        <w:t>Involve logistics from the early start, logisticians usually have good knowledge of local markets and are used to dealing with traders</w:t>
      </w:r>
    </w:p>
    <w:p w14:paraId="6A5D701A" w14:textId="77777777" w:rsidR="00B53669" w:rsidRDefault="00B45E48">
      <w:pPr>
        <w:keepNext/>
        <w:keepLines/>
        <w:numPr>
          <w:ilvl w:val="0"/>
          <w:numId w:val="2"/>
        </w:numPr>
        <w:pBdr>
          <w:top w:val="nil"/>
          <w:left w:val="nil"/>
          <w:bottom w:val="nil"/>
          <w:right w:val="nil"/>
          <w:between w:val="nil"/>
        </w:pBdr>
        <w:spacing w:before="60"/>
        <w:rPr>
          <w:rFonts w:ascii="Calibri" w:eastAsia="Calibri" w:hAnsi="Calibri" w:cs="Calibri"/>
          <w:color w:val="000000"/>
        </w:rPr>
      </w:pPr>
      <w:r>
        <w:rPr>
          <w:rFonts w:ascii="Calibri" w:eastAsia="Calibri" w:hAnsi="Calibri" w:cs="Calibri"/>
          <w:color w:val="000000"/>
        </w:rPr>
        <w:t xml:space="preserve">Include questions on how shocks have affected the markets in the past (i.e. impact, availability, access, prices, volume </w:t>
      </w:r>
      <w:r>
        <w:rPr>
          <w:rFonts w:ascii="Calibri" w:eastAsia="Calibri" w:hAnsi="Calibri" w:cs="Calibri"/>
          <w:color w:val="000000"/>
        </w:rPr>
        <w:t xml:space="preserve">of trade, restocking capacity, etc.) </w:t>
      </w:r>
    </w:p>
    <w:p w14:paraId="1DA273C8" w14:textId="77777777" w:rsidR="00B53669" w:rsidRDefault="00B45E48">
      <w:pPr>
        <w:numPr>
          <w:ilvl w:val="0"/>
          <w:numId w:val="2"/>
        </w:numPr>
        <w:pBdr>
          <w:top w:val="nil"/>
          <w:left w:val="nil"/>
          <w:bottom w:val="nil"/>
          <w:right w:val="nil"/>
          <w:between w:val="nil"/>
        </w:pBdr>
        <w:spacing w:before="60"/>
        <w:rPr>
          <w:rFonts w:ascii="Calibri" w:eastAsia="Calibri" w:hAnsi="Calibri" w:cs="Calibri"/>
          <w:color w:val="000000"/>
        </w:rPr>
      </w:pPr>
      <w:r>
        <w:rPr>
          <w:rFonts w:ascii="Calibri" w:eastAsia="Calibri" w:hAnsi="Calibri" w:cs="Calibri"/>
          <w:color w:val="000000"/>
        </w:rPr>
        <w:t>Use maps to represent graphically how markets are organized and how they have been affected by the early action related shock in the past</w:t>
      </w:r>
    </w:p>
    <w:p w14:paraId="7C408D6E" w14:textId="77777777" w:rsidR="00B53669" w:rsidRDefault="00B45E48">
      <w:pPr>
        <w:numPr>
          <w:ilvl w:val="0"/>
          <w:numId w:val="2"/>
        </w:numPr>
        <w:pBdr>
          <w:top w:val="nil"/>
          <w:left w:val="nil"/>
          <w:bottom w:val="nil"/>
          <w:right w:val="nil"/>
          <w:between w:val="nil"/>
        </w:pBdr>
        <w:spacing w:before="60"/>
        <w:rPr>
          <w:rFonts w:ascii="Calibri" w:eastAsia="Calibri" w:hAnsi="Calibri" w:cs="Calibri"/>
          <w:color w:val="000000"/>
        </w:rPr>
      </w:pPr>
      <w:r>
        <w:rPr>
          <w:rFonts w:ascii="Calibri" w:eastAsia="Calibri" w:hAnsi="Calibri" w:cs="Calibri"/>
          <w:color w:val="000000"/>
        </w:rPr>
        <w:t>When drawing conclusions and making recommendations, make clear reference to fin</w:t>
      </w:r>
      <w:r>
        <w:rPr>
          <w:rFonts w:ascii="Calibri" w:eastAsia="Calibri" w:hAnsi="Calibri" w:cs="Calibri"/>
          <w:color w:val="000000"/>
        </w:rPr>
        <w:t>dings (including risks) on which they are based</w:t>
      </w:r>
    </w:p>
    <w:p w14:paraId="537EA3A1" w14:textId="77777777" w:rsidR="00B53669" w:rsidRDefault="00B45E48">
      <w:pPr>
        <w:numPr>
          <w:ilvl w:val="0"/>
          <w:numId w:val="2"/>
        </w:numPr>
        <w:pBdr>
          <w:top w:val="nil"/>
          <w:left w:val="nil"/>
          <w:bottom w:val="nil"/>
          <w:right w:val="nil"/>
          <w:between w:val="nil"/>
        </w:pBdr>
        <w:spacing w:before="60"/>
        <w:rPr>
          <w:rFonts w:ascii="Calibri" w:eastAsia="Calibri" w:hAnsi="Calibri" w:cs="Calibri"/>
          <w:color w:val="000000"/>
        </w:rPr>
      </w:pPr>
      <w:r>
        <w:rPr>
          <w:rFonts w:ascii="Calibri" w:eastAsia="Calibri" w:hAnsi="Calibri" w:cs="Calibri"/>
          <w:color w:val="000000"/>
        </w:rPr>
        <w:t>If there is no technical market capacity for leading a market assessment in country, make sure to mobilize required expertise in good time</w:t>
      </w:r>
    </w:p>
    <w:p w14:paraId="3C583C44" w14:textId="77777777" w:rsidR="00B53669" w:rsidRDefault="00B45E48">
      <w:pPr>
        <w:pStyle w:val="berschrift2"/>
        <w:rPr>
          <w:rFonts w:ascii="Calibri" w:eastAsia="Calibri" w:hAnsi="Calibri" w:cs="Calibri"/>
          <w:sz w:val="20"/>
          <w:szCs w:val="20"/>
        </w:rPr>
      </w:pPr>
      <w:r>
        <w:rPr>
          <w:rFonts w:ascii="Calibri" w:eastAsia="Calibri" w:hAnsi="Calibri" w:cs="Calibri"/>
          <w:sz w:val="20"/>
          <w:szCs w:val="20"/>
        </w:rPr>
        <w:t>SUB-STEPS AND TOOLS</w:t>
      </w:r>
    </w:p>
    <w:p w14:paraId="200CE24F" w14:textId="77777777" w:rsidR="00B53669" w:rsidRDefault="00B45E48">
      <w:pPr>
        <w:pStyle w:val="berschrift3"/>
        <w:rPr>
          <w:rFonts w:ascii="Calibri" w:eastAsia="Calibri" w:hAnsi="Calibri" w:cs="Calibri"/>
          <w:color w:val="C00000"/>
          <w:sz w:val="24"/>
        </w:rPr>
      </w:pPr>
      <w:r>
        <w:rPr>
          <w:rFonts w:ascii="Calibri" w:eastAsia="Calibri" w:hAnsi="Calibri" w:cs="Calibri"/>
          <w:color w:val="C00000"/>
          <w:sz w:val="24"/>
        </w:rPr>
        <w:t>Identify key commodities and markets</w:t>
      </w:r>
    </w:p>
    <w:p w14:paraId="2952AFDE" w14:textId="77777777" w:rsidR="00B53669" w:rsidRDefault="00B45E48">
      <w:pPr>
        <w:rPr>
          <w:rFonts w:ascii="Calibri" w:eastAsia="Calibri" w:hAnsi="Calibri" w:cs="Calibri"/>
        </w:rPr>
      </w:pPr>
      <w:r>
        <w:rPr>
          <w:rFonts w:ascii="Calibri" w:eastAsia="Calibri" w:hAnsi="Calibri" w:cs="Calibri"/>
        </w:rPr>
        <w:t>Conducting a</w:t>
      </w:r>
      <w:r>
        <w:rPr>
          <w:rFonts w:ascii="Calibri" w:eastAsia="Calibri" w:hAnsi="Calibri" w:cs="Calibri"/>
        </w:rPr>
        <w:t xml:space="preserve"> rapid market assessment can be challenging if you do not have the required technical expertise available in your team. Check and ensure you mobilize adequate resources to provide technical support or lead a market assessment in a timely manner; when relev</w:t>
      </w:r>
      <w:r>
        <w:rPr>
          <w:rFonts w:ascii="Calibri" w:eastAsia="Calibri" w:hAnsi="Calibri" w:cs="Calibri"/>
        </w:rPr>
        <w:t xml:space="preserve">ant, </w:t>
      </w:r>
      <w:proofErr w:type="gramStart"/>
      <w:r>
        <w:rPr>
          <w:rFonts w:ascii="Calibri" w:eastAsia="Calibri" w:hAnsi="Calibri" w:cs="Calibri"/>
        </w:rPr>
        <w:t>coordinating  market</w:t>
      </w:r>
      <w:proofErr w:type="gramEnd"/>
      <w:r>
        <w:rPr>
          <w:rFonts w:ascii="Calibri" w:eastAsia="Calibri" w:hAnsi="Calibri" w:cs="Calibri"/>
        </w:rPr>
        <w:t xml:space="preserve"> assessment technical support from the region. </w:t>
      </w:r>
    </w:p>
    <w:p w14:paraId="64318FD8" w14:textId="77777777" w:rsidR="00B53669" w:rsidRDefault="00B45E48">
      <w:pPr>
        <w:numPr>
          <w:ilvl w:val="0"/>
          <w:numId w:val="1"/>
        </w:numPr>
        <w:spacing w:after="0"/>
        <w:rPr>
          <w:rFonts w:ascii="Calibri" w:eastAsia="Calibri" w:hAnsi="Calibri" w:cs="Calibri"/>
        </w:rPr>
      </w:pPr>
      <w:r>
        <w:rPr>
          <w:rFonts w:ascii="Calibri" w:eastAsia="Calibri" w:hAnsi="Calibri" w:cs="Calibri"/>
        </w:rPr>
        <w:t xml:space="preserve">In order to scope feasibility of </w:t>
      </w:r>
      <w:proofErr w:type="spellStart"/>
      <w:r>
        <w:rPr>
          <w:rFonts w:ascii="Calibri" w:eastAsia="Calibri" w:hAnsi="Calibri" w:cs="Calibri"/>
        </w:rPr>
        <w:t>FbF</w:t>
      </w:r>
      <w:proofErr w:type="spellEnd"/>
      <w:r>
        <w:rPr>
          <w:rFonts w:ascii="Calibri" w:eastAsia="Calibri" w:hAnsi="Calibri" w:cs="Calibri"/>
        </w:rPr>
        <w:t xml:space="preserve"> CVA early actions, a market assessment baseline should be conducted in a timely manner in advance of seasonally predicted pre-disaster times. Cond</w:t>
      </w:r>
      <w:r>
        <w:rPr>
          <w:rFonts w:ascii="Calibri" w:eastAsia="Calibri" w:hAnsi="Calibri" w:cs="Calibri"/>
        </w:rPr>
        <w:t>ucting a market assessment baseline in pre-disaster times is easier than doing so during a shock when information changes rapidly. In order to identify key commodities and markets, you can refer to secondary data gathered during planning and preparation (s</w:t>
      </w:r>
      <w:r>
        <w:rPr>
          <w:rFonts w:ascii="Calibri" w:eastAsia="Calibri" w:hAnsi="Calibri" w:cs="Calibri"/>
        </w:rPr>
        <w:t xml:space="preserve">tep1), and to information collected from communities and households (step2). You will need to distinguish the markets for basic household needs (food, </w:t>
      </w:r>
      <w:proofErr w:type="spellStart"/>
      <w:r>
        <w:rPr>
          <w:rFonts w:ascii="Calibri" w:eastAsia="Calibri" w:hAnsi="Calibri" w:cs="Calibri"/>
        </w:rPr>
        <w:t>non food</w:t>
      </w:r>
      <w:proofErr w:type="spellEnd"/>
      <w:r>
        <w:rPr>
          <w:rFonts w:ascii="Calibri" w:eastAsia="Calibri" w:hAnsi="Calibri" w:cs="Calibri"/>
        </w:rPr>
        <w:t xml:space="preserve"> items, etc.) from those filling more sector-specific needs that are linked to your defined early</w:t>
      </w:r>
      <w:r>
        <w:rPr>
          <w:rFonts w:ascii="Calibri" w:eastAsia="Calibri" w:hAnsi="Calibri" w:cs="Calibri"/>
        </w:rPr>
        <w:t xml:space="preserve"> actions (i.e. shelter - NFIs to support adaptation/improvement houses; livestock protection - fodder, livestock transport, animal shelter, etc.). When relevant, should consider market systems related to services or protection (e.g. alternative care, healt</w:t>
      </w:r>
      <w:r>
        <w:rPr>
          <w:rFonts w:ascii="Calibri" w:eastAsia="Calibri" w:hAnsi="Calibri" w:cs="Calibri"/>
        </w:rPr>
        <w:t xml:space="preserve">h, transport, etc.), and their relevant tools.  Conduct discussions with key market informants to cross-check and complement results. </w:t>
      </w:r>
    </w:p>
    <w:p w14:paraId="5C683426" w14:textId="77777777" w:rsidR="00B53669" w:rsidRDefault="00B45E48">
      <w:pPr>
        <w:numPr>
          <w:ilvl w:val="0"/>
          <w:numId w:val="1"/>
        </w:numPr>
        <w:rPr>
          <w:rFonts w:ascii="Calibri" w:eastAsia="Calibri" w:hAnsi="Calibri" w:cs="Calibri"/>
        </w:rPr>
      </w:pPr>
      <w:r>
        <w:rPr>
          <w:rFonts w:ascii="Calibri" w:eastAsia="Calibri" w:hAnsi="Calibri" w:cs="Calibri"/>
          <w:b/>
        </w:rPr>
        <w:t>Always include questions on how a similar shock have affected the markets in the past</w:t>
      </w:r>
      <w:r>
        <w:rPr>
          <w:rFonts w:ascii="Calibri" w:eastAsia="Calibri" w:hAnsi="Calibri" w:cs="Calibri"/>
        </w:rPr>
        <w:t xml:space="preserve"> (i.e. impact, availability, access,</w:t>
      </w:r>
      <w:r>
        <w:rPr>
          <w:rFonts w:ascii="Calibri" w:eastAsia="Calibri" w:hAnsi="Calibri" w:cs="Calibri"/>
        </w:rPr>
        <w:t xml:space="preserve"> prices, volume of trade, restocking capacity, etc.) </w:t>
      </w:r>
    </w:p>
    <w:p w14:paraId="24A5781D" w14:textId="77777777" w:rsidR="00B53669" w:rsidRDefault="00B53669">
      <w:pPr>
        <w:rPr>
          <w:rFonts w:ascii="Calibri" w:eastAsia="Calibri" w:hAnsi="Calibri" w:cs="Calibri"/>
        </w:rPr>
      </w:pPr>
    </w:p>
    <w:tbl>
      <w:tblPr>
        <w:tblStyle w:val="a0"/>
        <w:tblW w:w="9632" w:type="dxa"/>
        <w:tblBorders>
          <w:top w:val="nil"/>
          <w:left w:val="nil"/>
          <w:bottom w:val="nil"/>
          <w:right w:val="nil"/>
          <w:insideH w:val="nil"/>
          <w:insideV w:val="nil"/>
        </w:tblBorders>
        <w:tblLayout w:type="fixed"/>
        <w:tblLook w:val="0400" w:firstRow="0" w:lastRow="0" w:firstColumn="0" w:lastColumn="0" w:noHBand="0" w:noVBand="1"/>
      </w:tblPr>
      <w:tblGrid>
        <w:gridCol w:w="9632"/>
      </w:tblGrid>
      <w:tr w:rsidR="00B53669" w14:paraId="7155C411" w14:textId="77777777">
        <w:trPr>
          <w:trHeight w:val="860"/>
        </w:trPr>
        <w:tc>
          <w:tcPr>
            <w:tcW w:w="9632" w:type="dxa"/>
          </w:tcPr>
          <w:p w14:paraId="7AFDAFFF" w14:textId="77777777" w:rsidR="00B53669" w:rsidRDefault="00B45E48">
            <w:pPr>
              <w:pBdr>
                <w:top w:val="nil"/>
                <w:left w:val="nil"/>
                <w:bottom w:val="nil"/>
                <w:right w:val="nil"/>
                <w:between w:val="nil"/>
              </w:pBdr>
              <w:spacing w:before="60"/>
              <w:ind w:left="720" w:hanging="360"/>
              <w:rPr>
                <w:rFonts w:ascii="Calibri" w:eastAsia="Calibri" w:hAnsi="Calibri" w:cs="Calibri"/>
                <w:color w:val="000000"/>
              </w:rPr>
            </w:pPr>
            <w:r>
              <w:rPr>
                <w:rFonts w:ascii="Calibri" w:eastAsia="Calibri" w:hAnsi="Calibri" w:cs="Calibri"/>
                <w:color w:val="000000"/>
              </w:rPr>
              <w:t xml:space="preserve">Remember that in order to consider the appropriateness of multipurpose cash grants, the market assessment should take a multi-sector approach to feed in the definition and calculation of a minimum expenditure basket (MEB) and one-off needs of the affected </w:t>
            </w:r>
            <w:r>
              <w:rPr>
                <w:rFonts w:ascii="Calibri" w:eastAsia="Calibri" w:hAnsi="Calibri" w:cs="Calibri"/>
                <w:color w:val="000000"/>
              </w:rPr>
              <w:t>population.</w:t>
            </w:r>
          </w:p>
        </w:tc>
      </w:tr>
    </w:tbl>
    <w:p w14:paraId="024FB8E4" w14:textId="77777777" w:rsidR="00B53669" w:rsidRDefault="00B53669">
      <w:pPr>
        <w:rPr>
          <w:rFonts w:ascii="Calibri" w:eastAsia="Calibri" w:hAnsi="Calibri" w:cs="Calibri"/>
        </w:rPr>
      </w:pPr>
    </w:p>
    <w:p w14:paraId="4774A7EB" w14:textId="77777777" w:rsidR="00B53669" w:rsidRDefault="00B45E48">
      <w:pPr>
        <w:rPr>
          <w:rFonts w:ascii="Calibri" w:eastAsia="Calibri" w:hAnsi="Calibri" w:cs="Calibri"/>
        </w:rPr>
      </w:pPr>
      <w:r>
        <w:rPr>
          <w:rFonts w:ascii="Calibri" w:eastAsia="Calibri" w:hAnsi="Calibri" w:cs="Calibri"/>
        </w:rPr>
        <w:t xml:space="preserve">The </w:t>
      </w:r>
      <w:hyperlink r:id="rId12">
        <w:r>
          <w:rPr>
            <w:rFonts w:ascii="Calibri" w:eastAsia="Calibri" w:hAnsi="Calibri" w:cs="Calibri"/>
            <w:color w:val="1155CC"/>
            <w:u w:val="single"/>
          </w:rPr>
          <w:t xml:space="preserve">RCRC RAM Guidelines </w:t>
        </w:r>
      </w:hyperlink>
      <w:r>
        <w:rPr>
          <w:rFonts w:ascii="Calibri" w:eastAsia="Calibri" w:hAnsi="Calibri" w:cs="Calibri"/>
        </w:rPr>
        <w:t>offers</w:t>
      </w:r>
      <w:r>
        <w:rPr>
          <w:rFonts w:ascii="Calibri" w:eastAsia="Calibri" w:hAnsi="Calibri" w:cs="Calibri"/>
        </w:rPr>
        <w:t xml:space="preserve"> different sub-step tools can be adapted for the purpose of </w:t>
      </w:r>
      <w:proofErr w:type="spellStart"/>
      <w:r>
        <w:rPr>
          <w:rFonts w:ascii="Calibri" w:eastAsia="Calibri" w:hAnsi="Calibri" w:cs="Calibri"/>
        </w:rPr>
        <w:t>FbF</w:t>
      </w:r>
      <w:proofErr w:type="spellEnd"/>
      <w:r>
        <w:rPr>
          <w:rFonts w:ascii="Calibri" w:eastAsia="Calibri" w:hAnsi="Calibri" w:cs="Calibri"/>
        </w:rPr>
        <w:t xml:space="preserve"> contexts. Among the sub-step tools, you will find a questionnaire for focus group discussions with key market informants, as well as a guide for drawing market maps. Preliminary market maps ar</w:t>
      </w:r>
      <w:r>
        <w:rPr>
          <w:rFonts w:ascii="Calibri" w:eastAsia="Calibri" w:hAnsi="Calibri" w:cs="Calibri"/>
        </w:rPr>
        <w:t xml:space="preserve">e extremely helpful for identifying key informants to interview and bottlenecks to be investigated in the field. Market maps are a good way to represent and understand the structure of a market </w:t>
      </w:r>
      <w:proofErr w:type="gramStart"/>
      <w:r>
        <w:rPr>
          <w:rFonts w:ascii="Calibri" w:eastAsia="Calibri" w:hAnsi="Calibri" w:cs="Calibri"/>
        </w:rPr>
        <w:t>system, and</w:t>
      </w:r>
      <w:proofErr w:type="gramEnd"/>
      <w:r>
        <w:rPr>
          <w:rFonts w:ascii="Calibri" w:eastAsia="Calibri" w:hAnsi="Calibri" w:cs="Calibri"/>
        </w:rPr>
        <w:t xml:space="preserve"> should integrate market information obtained from </w:t>
      </w:r>
      <w:r>
        <w:rPr>
          <w:rFonts w:ascii="Calibri" w:eastAsia="Calibri" w:hAnsi="Calibri" w:cs="Calibri"/>
        </w:rPr>
        <w:t xml:space="preserve">different sources and adapted when relevant. </w:t>
      </w:r>
    </w:p>
    <w:p w14:paraId="615AB8D7" w14:textId="77777777" w:rsidR="00B53669" w:rsidRDefault="00B45E48">
      <w:pPr>
        <w:pStyle w:val="berschrift3"/>
        <w:rPr>
          <w:rFonts w:ascii="Calibri" w:eastAsia="Calibri" w:hAnsi="Calibri" w:cs="Calibri"/>
          <w:color w:val="C00000"/>
          <w:sz w:val="24"/>
        </w:rPr>
      </w:pPr>
      <w:r>
        <w:rPr>
          <w:rFonts w:ascii="Calibri" w:eastAsia="Calibri" w:hAnsi="Calibri" w:cs="Calibri"/>
          <w:color w:val="C00000"/>
          <w:sz w:val="24"/>
        </w:rPr>
        <w:lastRenderedPageBreak/>
        <w:t>Collect market information</w:t>
      </w:r>
    </w:p>
    <w:p w14:paraId="7071F21C" w14:textId="77777777" w:rsidR="00B53669" w:rsidRDefault="00B45E48">
      <w:pPr>
        <w:rPr>
          <w:rFonts w:ascii="Calibri" w:eastAsia="Calibri" w:hAnsi="Calibri" w:cs="Calibri"/>
        </w:rPr>
      </w:pPr>
      <w:r>
        <w:rPr>
          <w:rFonts w:ascii="Calibri" w:eastAsia="Calibri" w:hAnsi="Calibri" w:cs="Calibri"/>
        </w:rPr>
        <w:t xml:space="preserve">Once key commodities and markets have been identified, discussions with key market informants and traders can help you obtain a quick and basic understanding of the market situation, </w:t>
      </w:r>
      <w:r>
        <w:rPr>
          <w:rFonts w:ascii="Calibri" w:eastAsia="Calibri" w:hAnsi="Calibri" w:cs="Calibri"/>
        </w:rPr>
        <w:t xml:space="preserve">with a focus on the key commodities. Remember that different people interact differently with markets, therefore make sure to </w:t>
      </w:r>
      <w:proofErr w:type="gramStart"/>
      <w:r>
        <w:rPr>
          <w:rFonts w:ascii="Calibri" w:eastAsia="Calibri" w:hAnsi="Calibri" w:cs="Calibri"/>
        </w:rPr>
        <w:t>apply  an</w:t>
      </w:r>
      <w:proofErr w:type="gramEnd"/>
      <w:r>
        <w:rPr>
          <w:rFonts w:ascii="Calibri" w:eastAsia="Calibri" w:hAnsi="Calibri" w:cs="Calibri"/>
        </w:rPr>
        <w:t xml:space="preserve"> age, gender and diversity lens. Consult logisticians, they play an important role in the choice of key market informants</w:t>
      </w:r>
      <w:r>
        <w:rPr>
          <w:rFonts w:ascii="Calibri" w:eastAsia="Calibri" w:hAnsi="Calibri" w:cs="Calibri"/>
        </w:rPr>
        <w:t xml:space="preserve"> with whom to hold discussions, as they know and have contact with local traders (particularly wholesalers). </w:t>
      </w:r>
    </w:p>
    <w:p w14:paraId="5E620C7D" w14:textId="77777777" w:rsidR="00B53669" w:rsidRDefault="00B45E48">
      <w:pPr>
        <w:rPr>
          <w:rFonts w:ascii="Calibri" w:eastAsia="Calibri" w:hAnsi="Calibri" w:cs="Calibri"/>
        </w:rPr>
      </w:pPr>
      <w:r>
        <w:rPr>
          <w:rFonts w:ascii="Calibri" w:eastAsia="Calibri" w:hAnsi="Calibri" w:cs="Calibri"/>
        </w:rPr>
        <w:t xml:space="preserve">Among the </w:t>
      </w:r>
      <w:hyperlink r:id="rId13">
        <w:r>
          <w:rPr>
            <w:rFonts w:ascii="Calibri" w:eastAsia="Calibri" w:hAnsi="Calibri" w:cs="Calibri"/>
            <w:color w:val="1155CC"/>
            <w:u w:val="single"/>
          </w:rPr>
          <w:t xml:space="preserve">RCRC RAM Guidelines </w:t>
        </w:r>
      </w:hyperlink>
      <w:r>
        <w:rPr>
          <w:rFonts w:ascii="Calibri" w:eastAsia="Calibri" w:hAnsi="Calibri" w:cs="Calibri"/>
        </w:rPr>
        <w:t xml:space="preserve"> sub-step tools, you will find numerous questionnaires that can guide your interviews with key market informants and traders, and a set of questions that can help you consolidate the information </w:t>
      </w:r>
      <w:r>
        <w:rPr>
          <w:rFonts w:ascii="Calibri" w:eastAsia="Calibri" w:hAnsi="Calibri" w:cs="Calibri"/>
        </w:rPr>
        <w:t xml:space="preserve">gathered and draw conclusions at the end of the visit to each marketplace. You will also find a list of questions associated with criteria with which traders should comply in order to take part in voucher </w:t>
      </w:r>
      <w:proofErr w:type="spellStart"/>
      <w:r>
        <w:rPr>
          <w:rFonts w:ascii="Calibri" w:eastAsia="Calibri" w:hAnsi="Calibri" w:cs="Calibri"/>
        </w:rPr>
        <w:t>programmes</w:t>
      </w:r>
      <w:proofErr w:type="spellEnd"/>
      <w:r>
        <w:rPr>
          <w:rFonts w:ascii="Calibri" w:eastAsia="Calibri" w:hAnsi="Calibri" w:cs="Calibri"/>
        </w:rPr>
        <w:t>.</w:t>
      </w:r>
    </w:p>
    <w:p w14:paraId="7285FC09" w14:textId="77777777" w:rsidR="00B53669" w:rsidRDefault="00B53669">
      <w:pPr>
        <w:rPr>
          <w:rFonts w:ascii="Calibri" w:eastAsia="Calibri" w:hAnsi="Calibri" w:cs="Calibri"/>
        </w:rPr>
      </w:pPr>
    </w:p>
    <w:p w14:paraId="1922E34D" w14:textId="77777777" w:rsidR="00B53669" w:rsidRDefault="00B45E48">
      <w:pPr>
        <w:pStyle w:val="berschrift3"/>
        <w:rPr>
          <w:rFonts w:ascii="Calibri" w:eastAsia="Calibri" w:hAnsi="Calibri" w:cs="Calibri"/>
          <w:color w:val="C00000"/>
          <w:sz w:val="24"/>
        </w:rPr>
      </w:pPr>
      <w:r>
        <w:rPr>
          <w:rFonts w:ascii="Calibri" w:eastAsia="Calibri" w:hAnsi="Calibri" w:cs="Calibri"/>
          <w:color w:val="C00000"/>
          <w:sz w:val="24"/>
        </w:rPr>
        <w:t>Consolidate market findings</w:t>
      </w:r>
    </w:p>
    <w:p w14:paraId="6A76C887" w14:textId="77777777" w:rsidR="00B53669" w:rsidRDefault="00B45E48">
      <w:pPr>
        <w:rPr>
          <w:rFonts w:ascii="Calibri" w:eastAsia="Calibri" w:hAnsi="Calibri" w:cs="Calibri"/>
        </w:rPr>
      </w:pPr>
      <w:r>
        <w:rPr>
          <w:rFonts w:ascii="Calibri" w:eastAsia="Calibri" w:hAnsi="Calibri" w:cs="Calibri"/>
        </w:rPr>
        <w:t>Use maps t</w:t>
      </w:r>
      <w:r>
        <w:rPr>
          <w:rFonts w:ascii="Calibri" w:eastAsia="Calibri" w:hAnsi="Calibri" w:cs="Calibri"/>
        </w:rPr>
        <w:t xml:space="preserve">o </w:t>
      </w:r>
      <w:proofErr w:type="gramStart"/>
      <w:r>
        <w:rPr>
          <w:rFonts w:ascii="Calibri" w:eastAsia="Calibri" w:hAnsi="Calibri" w:cs="Calibri"/>
        </w:rPr>
        <w:t>graphically  represent</w:t>
      </w:r>
      <w:proofErr w:type="gramEnd"/>
      <w:r>
        <w:rPr>
          <w:rFonts w:ascii="Calibri" w:eastAsia="Calibri" w:hAnsi="Calibri" w:cs="Calibri"/>
        </w:rPr>
        <w:t xml:space="preserve"> how markets are organized and how they have been affected by the early action, or behaviors in the onset of the disaster in the past. </w:t>
      </w:r>
    </w:p>
    <w:p w14:paraId="69F7CECA" w14:textId="77777777" w:rsidR="00B53669" w:rsidRDefault="00B45E48">
      <w:pPr>
        <w:rPr>
          <w:rFonts w:ascii="Calibri" w:eastAsia="Calibri" w:hAnsi="Calibri" w:cs="Calibri"/>
        </w:rPr>
      </w:pPr>
      <w:bookmarkStart w:id="1" w:name="_heading=h.gjdgxs" w:colFirst="0" w:colLast="0"/>
      <w:bookmarkEnd w:id="1"/>
      <w:r>
        <w:rPr>
          <w:rFonts w:ascii="Calibri" w:eastAsia="Calibri" w:hAnsi="Calibri" w:cs="Calibri"/>
        </w:rPr>
        <w:t>Based on whether or not the different marketplaces have the capacity to supply the shock-affecte</w:t>
      </w:r>
      <w:r>
        <w:rPr>
          <w:rFonts w:ascii="Calibri" w:eastAsia="Calibri" w:hAnsi="Calibri" w:cs="Calibri"/>
        </w:rPr>
        <w:t xml:space="preserve">d population with sufficient quantities of key commodities, in a timely manner, you will: </w:t>
      </w:r>
      <w:proofErr w:type="spellStart"/>
      <w:r>
        <w:rPr>
          <w:rFonts w:ascii="Calibri" w:eastAsia="Calibri" w:hAnsi="Calibri" w:cs="Calibri"/>
        </w:rPr>
        <w:t>i</w:t>
      </w:r>
      <w:proofErr w:type="spellEnd"/>
      <w:r>
        <w:rPr>
          <w:rFonts w:ascii="Calibri" w:eastAsia="Calibri" w:hAnsi="Calibri" w:cs="Calibri"/>
        </w:rPr>
        <w:t>) determine the potential for CVA responses, and ii) make response option analysis recommendations on modality (cash, vouchers, in-kind/service or combination) for c</w:t>
      </w:r>
      <w:r>
        <w:rPr>
          <w:rFonts w:ascii="Calibri" w:eastAsia="Calibri" w:hAnsi="Calibri" w:cs="Calibri"/>
        </w:rPr>
        <w:t>onsideration during response analysis. When drawing conclusions and making recommendations, make clear reference to findings (including risks) on which they are based.</w:t>
      </w:r>
    </w:p>
    <w:p w14:paraId="62C4FCDD" w14:textId="77777777" w:rsidR="00B53669" w:rsidRDefault="00B45E48">
      <w:pPr>
        <w:rPr>
          <w:rFonts w:ascii="Calibri" w:eastAsia="Calibri" w:hAnsi="Calibri" w:cs="Calibri"/>
        </w:rPr>
      </w:pPr>
      <w:r>
        <w:rPr>
          <w:rFonts w:ascii="Calibri" w:eastAsia="Calibri" w:hAnsi="Calibri" w:cs="Calibri"/>
        </w:rPr>
        <w:t xml:space="preserve">Consider that your recommendations will need to be challenged by other aspects, such as </w:t>
      </w:r>
      <w:r>
        <w:rPr>
          <w:rFonts w:ascii="Calibri" w:eastAsia="Calibri" w:hAnsi="Calibri" w:cs="Calibri"/>
        </w:rPr>
        <w:t xml:space="preserve">early action objectives, timeliness, flexibility, scalability, cost-effectiveness and efficiency, organizational capacity, people’s preferences and security issues, which may influence the final decision on the best response option. </w:t>
      </w:r>
    </w:p>
    <w:p w14:paraId="3A259030" w14:textId="77777777" w:rsidR="00B53669" w:rsidRDefault="00B45E48">
      <w:pPr>
        <w:rPr>
          <w:rFonts w:ascii="Calibri" w:eastAsia="Calibri" w:hAnsi="Calibri" w:cs="Calibri"/>
        </w:rPr>
      </w:pPr>
      <w:r>
        <w:rPr>
          <w:rFonts w:ascii="Calibri" w:eastAsia="Calibri" w:hAnsi="Calibri" w:cs="Calibri"/>
        </w:rPr>
        <w:t>Among the sub-step too</w:t>
      </w:r>
      <w:r>
        <w:rPr>
          <w:rFonts w:ascii="Calibri" w:eastAsia="Calibri" w:hAnsi="Calibri" w:cs="Calibri"/>
        </w:rPr>
        <w:t xml:space="preserve">ls, you will find a market </w:t>
      </w:r>
      <w:hyperlink r:id="rId14">
        <w:r>
          <w:rPr>
            <w:rFonts w:ascii="Calibri" w:eastAsia="Calibri" w:hAnsi="Calibri" w:cs="Calibri"/>
            <w:color w:val="1155CC"/>
            <w:u w:val="single"/>
          </w:rPr>
          <w:t>decision tree</w:t>
        </w:r>
      </w:hyperlink>
      <w:r>
        <w:rPr>
          <w:rFonts w:ascii="Calibri" w:eastAsia="Calibri" w:hAnsi="Calibri" w:cs="Calibri"/>
        </w:rPr>
        <w:t xml:space="preserve"> tha</w:t>
      </w:r>
      <w:r>
        <w:rPr>
          <w:rFonts w:ascii="Calibri" w:eastAsia="Calibri" w:hAnsi="Calibri" w:cs="Calibri"/>
        </w:rPr>
        <w:t>t can help you determine the capacity of the marketplace. The conclusion tree should be used in conjunction with sub-step 2 questionnaires. You will find also a report format for consolidating all the information gathered and the conclusions made throughou</w:t>
      </w:r>
      <w:r>
        <w:rPr>
          <w:rFonts w:ascii="Calibri" w:eastAsia="Calibri" w:hAnsi="Calibri" w:cs="Calibri"/>
        </w:rPr>
        <w:t xml:space="preserve">t the rapid market assessment. </w:t>
      </w:r>
    </w:p>
    <w:p w14:paraId="4E195C7A" w14:textId="77777777" w:rsidR="00B53669" w:rsidRDefault="00B53669">
      <w:pPr>
        <w:keepNext/>
        <w:pBdr>
          <w:top w:val="nil"/>
          <w:left w:val="nil"/>
          <w:bottom w:val="nil"/>
          <w:right w:val="nil"/>
          <w:between w:val="nil"/>
        </w:pBdr>
        <w:jc w:val="left"/>
        <w:rPr>
          <w:rFonts w:ascii="Calibri" w:eastAsia="Calibri" w:hAnsi="Calibri" w:cs="Calibri"/>
          <w:color w:val="000000"/>
        </w:rPr>
      </w:pPr>
    </w:p>
    <w:p w14:paraId="3DFD8265" w14:textId="77777777" w:rsidR="00B53669" w:rsidRDefault="00B45E48">
      <w:pPr>
        <w:keepNext/>
        <w:pBdr>
          <w:top w:val="nil"/>
          <w:left w:val="nil"/>
          <w:bottom w:val="nil"/>
          <w:right w:val="nil"/>
          <w:between w:val="nil"/>
        </w:pBdr>
        <w:jc w:val="left"/>
        <w:rPr>
          <w:rFonts w:ascii="Calibri" w:eastAsia="Calibri" w:hAnsi="Calibri" w:cs="Calibri"/>
          <w:color w:val="000000"/>
        </w:rPr>
      </w:pPr>
      <w:r>
        <w:rPr>
          <w:rFonts w:ascii="Calibri" w:eastAsia="Calibri" w:hAnsi="Calibri" w:cs="Calibri"/>
          <w:color w:val="000000"/>
        </w:rPr>
        <w:t>Link</w:t>
      </w:r>
    </w:p>
    <w:p w14:paraId="418040DF" w14:textId="77777777" w:rsidR="00B53669" w:rsidRDefault="00B45E48">
      <w:pPr>
        <w:keepNext/>
        <w:pBdr>
          <w:top w:val="nil"/>
          <w:left w:val="nil"/>
          <w:bottom w:val="nil"/>
          <w:right w:val="nil"/>
          <w:between w:val="nil"/>
        </w:pBdr>
        <w:jc w:val="left"/>
        <w:rPr>
          <w:rFonts w:ascii="Calibri" w:eastAsia="Calibri" w:hAnsi="Calibri" w:cs="Calibri"/>
          <w:color w:val="000000"/>
        </w:rPr>
      </w:pPr>
      <w:hyperlink r:id="rId15">
        <w:r>
          <w:rPr>
            <w:rFonts w:ascii="Calibri" w:eastAsia="Calibri" w:hAnsi="Calibri" w:cs="Calibri"/>
            <w:color w:val="1155CC"/>
            <w:u w:val="single"/>
          </w:rPr>
          <w:t>International Red Cross Red Crescent Movement (2013) Rapid assessment for markets</w:t>
        </w:r>
        <w:r>
          <w:rPr>
            <w:rFonts w:ascii="Calibri" w:eastAsia="Calibri" w:hAnsi="Calibri" w:cs="Calibri"/>
            <w:color w:val="1155CC"/>
            <w:u w:val="single"/>
          </w:rPr>
          <w:t xml:space="preserve"> (RAM): Guidelines for an initial emergency market assessment</w:t>
        </w:r>
      </w:hyperlink>
    </w:p>
    <w:p w14:paraId="70457F3A" w14:textId="77777777" w:rsidR="00B53669" w:rsidRDefault="00B53669">
      <w:pPr>
        <w:rPr>
          <w:rFonts w:ascii="Calibri" w:eastAsia="Calibri" w:hAnsi="Calibri" w:cs="Calibri"/>
        </w:rPr>
      </w:pPr>
    </w:p>
    <w:p w14:paraId="352EDA91" w14:textId="77777777" w:rsidR="00B53669" w:rsidRDefault="00B53669">
      <w:pPr>
        <w:rPr>
          <w:rFonts w:ascii="Calibri" w:eastAsia="Calibri" w:hAnsi="Calibri" w:cs="Calibri"/>
          <w:color w:val="C00000"/>
        </w:rPr>
      </w:pPr>
    </w:p>
    <w:sectPr w:rsidR="00B53669">
      <w:headerReference w:type="default" r:id="rId16"/>
      <w:footerReference w:type="default" r:id="rId17"/>
      <w:headerReference w:type="first" r:id="rId18"/>
      <w:footerReference w:type="first" r:id="rId19"/>
      <w:pgSz w:w="11900" w:h="16840"/>
      <w:pgMar w:top="1134" w:right="1134" w:bottom="1134" w:left="1134"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72D13" w14:textId="77777777" w:rsidR="00B45E48" w:rsidRDefault="00B45E48">
      <w:pPr>
        <w:spacing w:after="0"/>
      </w:pPr>
      <w:r>
        <w:separator/>
      </w:r>
    </w:p>
  </w:endnote>
  <w:endnote w:type="continuationSeparator" w:id="0">
    <w:p w14:paraId="718000FD" w14:textId="77777777" w:rsidR="00B45E48" w:rsidRDefault="00B45E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Times-Roman">
    <w:panose1 w:val="00000000000000000000"/>
    <w:charset w:val="00"/>
    <w:family w:val="roman"/>
    <w:notTrueType/>
    <w:pitch w:val="default"/>
  </w:font>
  <w:font w:name="Caecilia-Ligh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Bold">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5C2BC" w14:textId="77777777" w:rsidR="00B53669" w:rsidRDefault="00B45E48">
    <w:pPr>
      <w:tabs>
        <w:tab w:val="center" w:pos="4320"/>
        <w:tab w:val="right" w:pos="8640"/>
      </w:tabs>
      <w:spacing w:after="0"/>
      <w:jc w:val="right"/>
      <w:rPr>
        <w:b/>
        <w:color w:val="808080"/>
        <w:sz w:val="18"/>
        <w:szCs w:val="18"/>
      </w:rPr>
    </w:pPr>
    <w:r>
      <w:rPr>
        <w:b/>
        <w:color w:val="808080"/>
        <w:sz w:val="18"/>
        <w:szCs w:val="18"/>
      </w:rPr>
      <w:fldChar w:fldCharType="begin"/>
    </w:r>
    <w:r>
      <w:rPr>
        <w:b/>
        <w:color w:val="808080"/>
        <w:sz w:val="18"/>
        <w:szCs w:val="18"/>
      </w:rPr>
      <w:instrText>PAGE</w:instrText>
    </w:r>
    <w:r w:rsidR="00960848">
      <w:rPr>
        <w:b/>
        <w:color w:val="808080"/>
        <w:sz w:val="18"/>
        <w:szCs w:val="18"/>
      </w:rPr>
      <w:fldChar w:fldCharType="separate"/>
    </w:r>
    <w:r w:rsidR="00960848">
      <w:rPr>
        <w:b/>
        <w:noProof/>
        <w:color w:val="808080"/>
        <w:sz w:val="18"/>
        <w:szCs w:val="18"/>
      </w:rPr>
      <w:t>2</w:t>
    </w:r>
    <w:r>
      <w:rPr>
        <w:b/>
        <w:color w:val="808080"/>
        <w:sz w:val="18"/>
        <w:szCs w:val="18"/>
      </w:rPr>
      <w:fldChar w:fldCharType="end"/>
    </w:r>
  </w:p>
  <w:p w14:paraId="3AAC8921" w14:textId="77777777" w:rsidR="00B53669" w:rsidRDefault="00B45E48">
    <w:pPr>
      <w:pBdr>
        <w:top w:val="nil"/>
        <w:left w:val="nil"/>
        <w:bottom w:val="nil"/>
        <w:right w:val="nil"/>
        <w:between w:val="nil"/>
      </w:pBdr>
      <w:spacing w:after="0"/>
      <w:jc w:val="left"/>
      <w:rPr>
        <w:rFonts w:eastAsia="Arial" w:cs="Arial"/>
        <w:color w:val="4A86E8"/>
        <w:sz w:val="16"/>
        <w:szCs w:val="16"/>
      </w:rPr>
    </w:pPr>
    <w:r>
      <w:rPr>
        <w:rFonts w:eastAsia="Arial" w:cs="Arial"/>
        <w:b/>
        <w:color w:val="000000"/>
        <w:sz w:val="16"/>
        <w:szCs w:val="16"/>
      </w:rPr>
      <w:t xml:space="preserve">Module 2. </w:t>
    </w:r>
    <w:r>
      <w:rPr>
        <w:rFonts w:eastAsia="Arial" w:cs="Arial"/>
        <w:color w:val="000000"/>
        <w:sz w:val="16"/>
        <w:szCs w:val="16"/>
      </w:rPr>
      <w:t xml:space="preserve">Step 3. Roadmap for rapid market assessment baseline - </w:t>
    </w:r>
    <w:proofErr w:type="spellStart"/>
    <w:r>
      <w:rPr>
        <w:rFonts w:eastAsia="Arial" w:cs="Arial"/>
        <w:color w:val="4A86E8"/>
        <w:sz w:val="16"/>
        <w:szCs w:val="16"/>
      </w:rPr>
      <w:t>FbF</w:t>
    </w:r>
    <w:proofErr w:type="spellEnd"/>
    <w:r>
      <w:rPr>
        <w:rFonts w:eastAsia="Arial" w:cs="Arial"/>
        <w:color w:val="4A86E8"/>
        <w:sz w:val="16"/>
        <w:szCs w:val="16"/>
      </w:rPr>
      <w:t xml:space="preserve"> adaptat</w:t>
    </w:r>
    <w:r>
      <w:rPr>
        <w:color w:val="4A86E8"/>
        <w:sz w:val="16"/>
        <w:szCs w:val="16"/>
      </w:rPr>
      <w: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686D0" w14:textId="77777777" w:rsidR="00B53669" w:rsidRDefault="00B45E48">
    <w:pPr>
      <w:tabs>
        <w:tab w:val="center" w:pos="4320"/>
        <w:tab w:val="right" w:pos="8640"/>
      </w:tabs>
      <w:spacing w:after="0"/>
      <w:jc w:val="right"/>
      <w:rPr>
        <w:b/>
        <w:color w:val="808080"/>
        <w:sz w:val="18"/>
        <w:szCs w:val="18"/>
      </w:rPr>
    </w:pPr>
    <w:r>
      <w:rPr>
        <w:b/>
        <w:color w:val="808080"/>
        <w:sz w:val="18"/>
        <w:szCs w:val="18"/>
      </w:rPr>
      <w:fldChar w:fldCharType="begin"/>
    </w:r>
    <w:r>
      <w:rPr>
        <w:b/>
        <w:color w:val="808080"/>
        <w:sz w:val="18"/>
        <w:szCs w:val="18"/>
      </w:rPr>
      <w:instrText>PAGE</w:instrText>
    </w:r>
    <w:r w:rsidR="00960848">
      <w:rPr>
        <w:b/>
        <w:color w:val="808080"/>
        <w:sz w:val="18"/>
        <w:szCs w:val="18"/>
      </w:rPr>
      <w:fldChar w:fldCharType="separate"/>
    </w:r>
    <w:r w:rsidR="00960848">
      <w:rPr>
        <w:b/>
        <w:noProof/>
        <w:color w:val="808080"/>
        <w:sz w:val="18"/>
        <w:szCs w:val="18"/>
      </w:rPr>
      <w:t>1</w:t>
    </w:r>
    <w:r>
      <w:rPr>
        <w:b/>
        <w:color w:val="808080"/>
        <w:sz w:val="18"/>
        <w:szCs w:val="18"/>
      </w:rPr>
      <w:fldChar w:fldCharType="end"/>
    </w:r>
  </w:p>
  <w:p w14:paraId="24DECAEE" w14:textId="77777777" w:rsidR="00B53669" w:rsidRDefault="00B45E48">
    <w:pPr>
      <w:pBdr>
        <w:top w:val="nil"/>
        <w:left w:val="nil"/>
        <w:bottom w:val="nil"/>
        <w:right w:val="nil"/>
        <w:between w:val="nil"/>
      </w:pBdr>
      <w:spacing w:after="0"/>
      <w:jc w:val="left"/>
      <w:rPr>
        <w:rFonts w:eastAsia="Arial" w:cs="Arial"/>
        <w:color w:val="000000"/>
        <w:sz w:val="16"/>
        <w:szCs w:val="16"/>
      </w:rPr>
    </w:pPr>
    <w:r>
      <w:rPr>
        <w:rFonts w:eastAsia="Arial" w:cs="Arial"/>
        <w:b/>
        <w:color w:val="000000"/>
        <w:sz w:val="16"/>
        <w:szCs w:val="16"/>
      </w:rPr>
      <w:t>Module 2.</w:t>
    </w:r>
    <w:r>
      <w:rPr>
        <w:rFonts w:eastAsia="Arial" w:cs="Arial"/>
        <w:color w:val="000000"/>
        <w:sz w:val="16"/>
        <w:szCs w:val="16"/>
      </w:rPr>
      <w:t xml:space="preserve"> Step 3. Roadmap for rapid market assessment baseline – </w:t>
    </w:r>
    <w:proofErr w:type="spellStart"/>
    <w:r>
      <w:rPr>
        <w:rFonts w:eastAsia="Arial" w:cs="Arial"/>
        <w:color w:val="FF0000"/>
        <w:sz w:val="16"/>
        <w:szCs w:val="16"/>
      </w:rPr>
      <w:t>FbF</w:t>
    </w:r>
    <w:proofErr w:type="spellEnd"/>
    <w:r>
      <w:rPr>
        <w:rFonts w:eastAsia="Arial" w:cs="Arial"/>
        <w:color w:val="FF0000"/>
        <w:sz w:val="16"/>
        <w:szCs w:val="16"/>
      </w:rPr>
      <w:t xml:space="preserve"> adaptation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0C3AC" w14:textId="77777777" w:rsidR="00B45E48" w:rsidRDefault="00B45E48">
      <w:pPr>
        <w:spacing w:after="0"/>
      </w:pPr>
      <w:r>
        <w:separator/>
      </w:r>
    </w:p>
  </w:footnote>
  <w:footnote w:type="continuationSeparator" w:id="0">
    <w:p w14:paraId="3A8363F0" w14:textId="77777777" w:rsidR="00B45E48" w:rsidRDefault="00B45E48">
      <w:pPr>
        <w:spacing w:after="0"/>
      </w:pPr>
      <w:r>
        <w:continuationSeparator/>
      </w:r>
    </w:p>
  </w:footnote>
  <w:footnote w:id="1">
    <w:p w14:paraId="586087DD" w14:textId="77777777" w:rsidR="00B53669" w:rsidRDefault="00B45E48">
      <w:pPr>
        <w:pBdr>
          <w:top w:val="nil"/>
          <w:left w:val="nil"/>
          <w:bottom w:val="nil"/>
          <w:right w:val="nil"/>
          <w:between w:val="nil"/>
        </w:pBdr>
        <w:spacing w:after="0"/>
        <w:rPr>
          <w:rFonts w:eastAsia="Arial" w:cs="Arial"/>
          <w:color w:val="000000"/>
          <w:sz w:val="16"/>
          <w:szCs w:val="16"/>
        </w:rPr>
      </w:pPr>
      <w:r>
        <w:rPr>
          <w:rStyle w:val="Funotenzeichen"/>
        </w:rPr>
        <w:footnoteRef/>
      </w:r>
      <w:r>
        <w:rPr>
          <w:rFonts w:eastAsia="Arial" w:cs="Arial"/>
          <w:color w:val="000000"/>
          <w:sz w:val="16"/>
          <w:szCs w:val="16"/>
        </w:rPr>
        <w:t xml:space="preserve"> Rapid Assessment for Markets, International Red Cross Red Crescent Movement, 2013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23AFE" w14:textId="77777777" w:rsidR="00B53669" w:rsidRDefault="00B45E48">
    <w:pPr>
      <w:pBdr>
        <w:top w:val="nil"/>
        <w:left w:val="nil"/>
        <w:bottom w:val="nil"/>
        <w:right w:val="nil"/>
        <w:between w:val="nil"/>
      </w:pBdr>
      <w:spacing w:after="0" w:line="288" w:lineRule="auto"/>
      <w:jc w:val="left"/>
      <w:rPr>
        <w:rFonts w:eastAsia="Arial" w:cs="Arial"/>
        <w:color w:val="000000"/>
        <w:sz w:val="16"/>
        <w:szCs w:val="16"/>
      </w:rPr>
    </w:pPr>
    <w:r>
      <w:rPr>
        <w:rFonts w:eastAsia="Arial" w:cs="Arial"/>
        <w:color w:val="DC281E"/>
        <w:sz w:val="16"/>
        <w:szCs w:val="16"/>
      </w:rPr>
      <w:t>International Red Cross and Red Crescent Movement</w:t>
    </w:r>
    <w:r>
      <w:rPr>
        <w:rFonts w:eastAsia="Arial" w:cs="Arial"/>
        <w:color w:val="FF0000"/>
        <w:sz w:val="16"/>
        <w:szCs w:val="16"/>
      </w:rPr>
      <w:t xml:space="preserve"> </w:t>
    </w:r>
    <w:r>
      <w:rPr>
        <w:rFonts w:eastAsia="Arial" w:cs="Arial"/>
        <w:b/>
        <w:color w:val="000000"/>
        <w:sz w:val="16"/>
        <w:szCs w:val="16"/>
      </w:rPr>
      <w:t>I</w:t>
    </w:r>
    <w:r>
      <w:rPr>
        <w:rFonts w:eastAsia="Arial" w:cs="Arial"/>
        <w:b/>
        <w:color w:val="FF0000"/>
        <w:sz w:val="16"/>
        <w:szCs w:val="16"/>
      </w:rPr>
      <w:t xml:space="preserve"> </w:t>
    </w:r>
    <w:r>
      <w:rPr>
        <w:rFonts w:eastAsia="Arial" w:cs="Arial"/>
        <w:b/>
        <w:color w:val="000000"/>
        <w:sz w:val="16"/>
        <w:szCs w:val="16"/>
      </w:rPr>
      <w:t>Cash in Emergencies Toolkit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DA23C" w14:textId="77777777" w:rsidR="00B53669" w:rsidRDefault="00B45E48">
    <w:pPr>
      <w:pBdr>
        <w:top w:val="nil"/>
        <w:left w:val="nil"/>
        <w:bottom w:val="nil"/>
        <w:right w:val="nil"/>
        <w:between w:val="nil"/>
      </w:pBdr>
      <w:spacing w:after="0" w:line="288" w:lineRule="auto"/>
      <w:jc w:val="left"/>
      <w:rPr>
        <w:rFonts w:eastAsia="Arial" w:cs="Arial"/>
        <w:b/>
        <w:color w:val="000000"/>
        <w:sz w:val="24"/>
        <w:szCs w:val="24"/>
      </w:rPr>
    </w:pPr>
    <w:r>
      <w:rPr>
        <w:noProof/>
      </w:rPr>
      <w:drawing>
        <wp:anchor distT="0" distB="0" distL="114300" distR="114300" simplePos="0" relativeHeight="251658240" behindDoc="0" locked="0" layoutInCell="1" hidden="0" allowOverlap="1" wp14:anchorId="3674FE2C" wp14:editId="4147B0DB">
          <wp:simplePos x="0" y="0"/>
          <wp:positionH relativeFrom="column">
            <wp:posOffset>360045</wp:posOffset>
          </wp:positionH>
          <wp:positionV relativeFrom="paragraph">
            <wp:posOffset>0</wp:posOffset>
          </wp:positionV>
          <wp:extent cx="633730" cy="719512"/>
          <wp:effectExtent l="0" t="0" r="0" b="0"/>
          <wp:wrapNone/>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633730" cy="719512"/>
                  </a:xfrm>
                  <a:prstGeom prst="rect">
                    <a:avLst/>
                  </a:prstGeom>
                  <a:ln/>
                </pic:spPr>
              </pic:pic>
            </a:graphicData>
          </a:graphic>
        </wp:anchor>
      </w:drawing>
    </w:r>
  </w:p>
  <w:p w14:paraId="0C45AC9F" w14:textId="77777777" w:rsidR="00B53669" w:rsidRDefault="00B53669">
    <w:pPr>
      <w:pBdr>
        <w:top w:val="nil"/>
        <w:left w:val="nil"/>
        <w:bottom w:val="nil"/>
        <w:right w:val="nil"/>
        <w:between w:val="nil"/>
      </w:pBdr>
      <w:spacing w:after="0" w:line="288" w:lineRule="auto"/>
      <w:jc w:val="left"/>
      <w:rPr>
        <w:rFonts w:eastAsia="Arial" w:cs="Arial"/>
        <w:b/>
        <w:color w:val="000000"/>
        <w:sz w:val="24"/>
        <w:szCs w:val="24"/>
      </w:rPr>
    </w:pPr>
  </w:p>
  <w:p w14:paraId="67FBF48D" w14:textId="77777777" w:rsidR="00B53669" w:rsidRDefault="00B45E48">
    <w:pPr>
      <w:pBdr>
        <w:top w:val="nil"/>
        <w:left w:val="nil"/>
        <w:bottom w:val="nil"/>
        <w:right w:val="nil"/>
        <w:between w:val="nil"/>
      </w:pBdr>
      <w:spacing w:after="0" w:line="288" w:lineRule="auto"/>
      <w:jc w:val="left"/>
      <w:rPr>
        <w:rFonts w:eastAsia="Arial" w:cs="Arial"/>
        <w:color w:val="DC281E"/>
        <w:sz w:val="24"/>
        <w:szCs w:val="24"/>
      </w:rPr>
    </w:pPr>
    <w:r>
      <w:rPr>
        <w:noProof/>
      </w:rPr>
      <w:drawing>
        <wp:anchor distT="0" distB="0" distL="114300" distR="114300" simplePos="0" relativeHeight="251659264" behindDoc="0" locked="0" layoutInCell="1" hidden="0" allowOverlap="1" wp14:anchorId="76589759" wp14:editId="3FB330B6">
          <wp:simplePos x="0" y="0"/>
          <wp:positionH relativeFrom="column">
            <wp:posOffset>2646045</wp:posOffset>
          </wp:positionH>
          <wp:positionV relativeFrom="paragraph">
            <wp:posOffset>0</wp:posOffset>
          </wp:positionV>
          <wp:extent cx="3200400" cy="299867"/>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3200400" cy="299867"/>
                  </a:xfrm>
                  <a:prstGeom prst="rect">
                    <a:avLst/>
                  </a:prstGeom>
                  <a:ln/>
                </pic:spPr>
              </pic:pic>
            </a:graphicData>
          </a:graphic>
        </wp:anchor>
      </w:drawing>
    </w:r>
  </w:p>
  <w:p w14:paraId="47E1A62E" w14:textId="77777777" w:rsidR="00B53669" w:rsidRDefault="00B53669">
    <w:pPr>
      <w:pBdr>
        <w:top w:val="nil"/>
        <w:left w:val="nil"/>
        <w:bottom w:val="nil"/>
        <w:right w:val="nil"/>
        <w:between w:val="nil"/>
      </w:pBdr>
      <w:spacing w:after="0"/>
      <w:jc w:val="left"/>
      <w:rPr>
        <w:rFonts w:eastAsia="Arial" w:cs="Arial"/>
        <w:b/>
        <w:color w:val="DC281E"/>
        <w:sz w:val="24"/>
        <w:szCs w:val="24"/>
      </w:rPr>
    </w:pPr>
  </w:p>
  <w:p w14:paraId="36B10E33" w14:textId="77777777" w:rsidR="00B53669" w:rsidRDefault="00B53669">
    <w:pPr>
      <w:pBdr>
        <w:top w:val="nil"/>
        <w:left w:val="nil"/>
        <w:bottom w:val="nil"/>
        <w:right w:val="nil"/>
        <w:between w:val="nil"/>
      </w:pBdr>
      <w:spacing w:after="0"/>
      <w:jc w:val="left"/>
      <w:rPr>
        <w:rFonts w:eastAsia="Arial" w:cs="Arial"/>
        <w:b/>
        <w:color w:val="DC281E"/>
        <w:sz w:val="24"/>
        <w:szCs w:val="24"/>
      </w:rPr>
    </w:pPr>
  </w:p>
  <w:p w14:paraId="417A8C0D" w14:textId="77777777" w:rsidR="00B53669" w:rsidRDefault="00B45E48">
    <w:pPr>
      <w:pBdr>
        <w:top w:val="nil"/>
        <w:left w:val="nil"/>
        <w:bottom w:val="nil"/>
        <w:right w:val="nil"/>
        <w:between w:val="nil"/>
      </w:pBdr>
      <w:spacing w:after="0" w:line="288" w:lineRule="auto"/>
      <w:jc w:val="left"/>
      <w:rPr>
        <w:rFonts w:ascii="Arial Bold" w:eastAsia="Arial Bold" w:hAnsi="Arial Bold" w:cs="Arial Bold"/>
        <w:b/>
        <w:color w:val="DC281E"/>
        <w:sz w:val="24"/>
        <w:szCs w:val="24"/>
      </w:rPr>
    </w:pPr>
    <w:r>
      <w:rPr>
        <w:rFonts w:ascii="Arial Bold" w:eastAsia="Arial Bold" w:hAnsi="Arial Bold" w:cs="Arial Bold"/>
        <w:b/>
        <w:color w:val="DC281E"/>
        <w:sz w:val="24"/>
        <w:szCs w:val="24"/>
      </w:rPr>
      <w:t>Cash in Emergencies Toolkit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DD780C"/>
    <w:multiLevelType w:val="multilevel"/>
    <w:tmpl w:val="69C65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157648A"/>
    <w:multiLevelType w:val="multilevel"/>
    <w:tmpl w:val="C2DE3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B810A2C"/>
    <w:multiLevelType w:val="multilevel"/>
    <w:tmpl w:val="F968C58E"/>
    <w:lvl w:ilvl="0">
      <w:start w:val="1"/>
      <w:numFmt w:val="decimal"/>
      <w:pStyle w:val="Bullet1"/>
      <w:lvlText w:val="%1."/>
      <w:lvlJc w:val="left"/>
      <w:pPr>
        <w:tabs>
          <w:tab w:val="num" w:pos="720"/>
        </w:tabs>
        <w:ind w:left="720" w:hanging="720"/>
      </w:pPr>
    </w:lvl>
    <w:lvl w:ilvl="1">
      <w:start w:val="1"/>
      <w:numFmt w:val="decimal"/>
      <w:pStyle w:val="ListNumber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669"/>
    <w:rsid w:val="00960848"/>
    <w:rsid w:val="00B45E48"/>
    <w:rsid w:val="00B536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49D7D"/>
  <w15:docId w15:val="{02BF2BF4-2C07-4319-A2FF-CB28DC1F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de-DE"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1F23"/>
    <w:rPr>
      <w:rFonts w:eastAsiaTheme="minorEastAsia" w:cs="Times New Roman"/>
    </w:rPr>
  </w:style>
  <w:style w:type="paragraph" w:styleId="berschrift1">
    <w:name w:val="heading 1"/>
    <w:basedOn w:val="H1"/>
    <w:next w:val="Standard"/>
    <w:link w:val="berschrift1Zchn"/>
    <w:uiPriority w:val="9"/>
    <w:qFormat/>
    <w:rsid w:val="003D1F23"/>
  </w:style>
  <w:style w:type="paragraph" w:styleId="berschrift2">
    <w:name w:val="heading 2"/>
    <w:basedOn w:val="Standard"/>
    <w:next w:val="Standard"/>
    <w:link w:val="berschrift2Zchn"/>
    <w:uiPriority w:val="9"/>
    <w:unhideWhenUsed/>
    <w:qFormat/>
    <w:rsid w:val="003D1F23"/>
    <w:pPr>
      <w:keepNext/>
      <w:pBdr>
        <w:top w:val="single" w:sz="4" w:space="11" w:color="auto"/>
      </w:pBdr>
      <w:spacing w:before="240" w:after="240"/>
      <w:jc w:val="left"/>
      <w:outlineLvl w:val="1"/>
    </w:pPr>
    <w:rPr>
      <w:b/>
      <w:caps/>
      <w:sz w:val="24"/>
      <w:szCs w:val="26"/>
      <w:shd w:val="clear" w:color="auto" w:fill="FFFFFF"/>
    </w:rPr>
  </w:style>
  <w:style w:type="paragraph" w:styleId="berschrift3">
    <w:name w:val="heading 3"/>
    <w:basedOn w:val="Standard"/>
    <w:next w:val="Standard"/>
    <w:link w:val="berschrift3Zchn"/>
    <w:uiPriority w:val="9"/>
    <w:unhideWhenUsed/>
    <w:qFormat/>
    <w:rsid w:val="003D1F23"/>
    <w:pPr>
      <w:keepNext/>
      <w:spacing w:before="240"/>
      <w:jc w:val="left"/>
      <w:outlineLvl w:val="2"/>
    </w:pPr>
    <w:rPr>
      <w:b/>
      <w:sz w:val="22"/>
      <w:szCs w:val="24"/>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Listenabsatz">
    <w:name w:val="List Paragraph"/>
    <w:basedOn w:val="Standard"/>
    <w:link w:val="ListenabsatzZchn"/>
    <w:uiPriority w:val="34"/>
    <w:qFormat/>
    <w:rsid w:val="003D1F23"/>
    <w:pPr>
      <w:spacing w:after="240"/>
      <w:ind w:left="720"/>
      <w:contextualSpacing/>
    </w:pPr>
    <w:rPr>
      <w:rFonts w:eastAsiaTheme="minorHAnsi" w:cstheme="minorBidi"/>
      <w:szCs w:val="22"/>
    </w:rPr>
  </w:style>
  <w:style w:type="table" w:styleId="Tabellenraster">
    <w:name w:val="Table Grid"/>
    <w:basedOn w:val="NormaleTabelle"/>
    <w:uiPriority w:val="59"/>
    <w:rsid w:val="003D1F23"/>
    <w:rPr>
      <w:rFonts w:ascii="Cambria" w:eastAsiaTheme="minorEastAs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aliases w:val="Testo nota a piè di pagina Carattere"/>
    <w:basedOn w:val="Standard"/>
    <w:link w:val="FunotentextZchn"/>
    <w:uiPriority w:val="99"/>
    <w:unhideWhenUsed/>
    <w:rsid w:val="003D1F23"/>
    <w:pPr>
      <w:spacing w:after="0"/>
    </w:pPr>
    <w:rPr>
      <w:sz w:val="16"/>
      <w:szCs w:val="22"/>
    </w:rPr>
  </w:style>
  <w:style w:type="character" w:customStyle="1" w:styleId="FunotentextZchn">
    <w:name w:val="Fußnotentext Zchn"/>
    <w:aliases w:val="Testo nota a piè di pagina Carattere Zchn"/>
    <w:basedOn w:val="Absatz-Standardschriftart"/>
    <w:link w:val="Funotentext"/>
    <w:uiPriority w:val="99"/>
    <w:rsid w:val="003D1F23"/>
    <w:rPr>
      <w:rFonts w:ascii="Arial" w:eastAsiaTheme="minorEastAsia" w:hAnsi="Arial" w:cs="Times New Roman"/>
      <w:sz w:val="16"/>
      <w:szCs w:val="22"/>
    </w:rPr>
  </w:style>
  <w:style w:type="character" w:styleId="Funotenzeichen">
    <w:name w:val="footnote reference"/>
    <w:basedOn w:val="Absatz-Standardschriftart"/>
    <w:uiPriority w:val="99"/>
    <w:unhideWhenUsed/>
    <w:rsid w:val="003D1F23"/>
    <w:rPr>
      <w:vertAlign w:val="superscript"/>
    </w:rPr>
  </w:style>
  <w:style w:type="character" w:customStyle="1" w:styleId="ListenabsatzZchn">
    <w:name w:val="Listenabsatz Zchn"/>
    <w:basedOn w:val="Absatz-Standardschriftart"/>
    <w:link w:val="Listenabsatz"/>
    <w:uiPriority w:val="34"/>
    <w:rsid w:val="003D1F23"/>
    <w:rPr>
      <w:rFonts w:ascii="Arial" w:hAnsi="Arial"/>
      <w:sz w:val="20"/>
      <w:szCs w:val="22"/>
    </w:rPr>
  </w:style>
  <w:style w:type="paragraph" w:styleId="Sprechblasentext">
    <w:name w:val="Balloon Text"/>
    <w:basedOn w:val="Standard"/>
    <w:link w:val="SprechblasentextZchn"/>
    <w:uiPriority w:val="99"/>
    <w:unhideWhenUsed/>
    <w:rsid w:val="003D1F23"/>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rsid w:val="003D1F23"/>
    <w:rPr>
      <w:rFonts w:ascii="Lucida Grande" w:eastAsiaTheme="minorEastAsia" w:hAnsi="Lucida Grande" w:cs="Lucida Grande"/>
      <w:sz w:val="18"/>
      <w:szCs w:val="18"/>
    </w:rPr>
  </w:style>
  <w:style w:type="paragraph" w:styleId="Kopfzeile">
    <w:name w:val="header"/>
    <w:basedOn w:val="Standard"/>
    <w:link w:val="KopfzeileZchn"/>
    <w:uiPriority w:val="99"/>
    <w:unhideWhenUsed/>
    <w:rsid w:val="003D1F23"/>
    <w:pPr>
      <w:spacing w:after="0" w:line="288" w:lineRule="auto"/>
      <w:jc w:val="left"/>
    </w:pPr>
    <w:rPr>
      <w:sz w:val="16"/>
    </w:rPr>
  </w:style>
  <w:style w:type="character" w:customStyle="1" w:styleId="KopfzeileZchn">
    <w:name w:val="Kopfzeile Zchn"/>
    <w:basedOn w:val="Absatz-Standardschriftart"/>
    <w:link w:val="Kopfzeile"/>
    <w:uiPriority w:val="99"/>
    <w:rsid w:val="003D1F23"/>
    <w:rPr>
      <w:rFonts w:ascii="Arial" w:eastAsiaTheme="minorEastAsia" w:hAnsi="Arial" w:cs="Times New Roman"/>
      <w:sz w:val="16"/>
      <w:szCs w:val="20"/>
    </w:rPr>
  </w:style>
  <w:style w:type="paragraph" w:styleId="Fuzeile">
    <w:name w:val="footer"/>
    <w:basedOn w:val="Standard"/>
    <w:link w:val="FuzeileZchn"/>
    <w:uiPriority w:val="99"/>
    <w:unhideWhenUsed/>
    <w:rsid w:val="003D1F23"/>
    <w:pPr>
      <w:spacing w:after="0"/>
      <w:jc w:val="left"/>
    </w:pPr>
    <w:rPr>
      <w:sz w:val="16"/>
      <w:szCs w:val="18"/>
    </w:rPr>
  </w:style>
  <w:style w:type="character" w:customStyle="1" w:styleId="FuzeileZchn">
    <w:name w:val="Fußzeile Zchn"/>
    <w:basedOn w:val="Absatz-Standardschriftart"/>
    <w:link w:val="Fuzeile"/>
    <w:uiPriority w:val="99"/>
    <w:rsid w:val="003D1F23"/>
    <w:rPr>
      <w:rFonts w:ascii="Arial" w:eastAsiaTheme="minorEastAsia" w:hAnsi="Arial" w:cs="Times New Roman"/>
      <w:sz w:val="16"/>
      <w:szCs w:val="18"/>
    </w:rPr>
  </w:style>
  <w:style w:type="paragraph" w:customStyle="1" w:styleId="Default">
    <w:name w:val="Default"/>
    <w:rsid w:val="003D1F23"/>
    <w:pPr>
      <w:widowControl w:val="0"/>
      <w:autoSpaceDE w:val="0"/>
      <w:autoSpaceDN w:val="0"/>
      <w:adjustRightInd w:val="0"/>
    </w:pPr>
    <w:rPr>
      <w:rFonts w:eastAsiaTheme="minorEastAsia"/>
      <w:color w:val="000000"/>
    </w:rPr>
  </w:style>
  <w:style w:type="paragraph" w:styleId="Kommentartext">
    <w:name w:val="annotation text"/>
    <w:basedOn w:val="Standard"/>
    <w:link w:val="KommentartextZchn"/>
    <w:uiPriority w:val="99"/>
    <w:unhideWhenUsed/>
    <w:rsid w:val="00E14DDB"/>
    <w:rPr>
      <w:rFonts w:asciiTheme="minorHAnsi" w:hAnsiTheme="minorHAnsi"/>
    </w:rPr>
  </w:style>
  <w:style w:type="character" w:customStyle="1" w:styleId="KommentartextZchn">
    <w:name w:val="Kommentartext Zchn"/>
    <w:basedOn w:val="Absatz-Standardschriftart"/>
    <w:link w:val="Kommentartext"/>
    <w:uiPriority w:val="99"/>
    <w:rsid w:val="00E14DDB"/>
    <w:rPr>
      <w:rFonts w:eastAsiaTheme="minorEastAsia"/>
    </w:rPr>
  </w:style>
  <w:style w:type="character" w:customStyle="1" w:styleId="berschrift1Zchn">
    <w:name w:val="Überschrift 1 Zchn"/>
    <w:basedOn w:val="Absatz-Standardschriftart"/>
    <w:link w:val="berschrift1"/>
    <w:uiPriority w:val="9"/>
    <w:rsid w:val="003D1F23"/>
    <w:rPr>
      <w:rFonts w:ascii="Arial" w:eastAsiaTheme="minorEastAsia" w:hAnsi="Arial" w:cs="Times New Roman"/>
      <w:b/>
      <w:sz w:val="40"/>
      <w:szCs w:val="52"/>
    </w:rPr>
  </w:style>
  <w:style w:type="character" w:styleId="Kommentarzeichen">
    <w:name w:val="annotation reference"/>
    <w:basedOn w:val="Absatz-Standardschriftart"/>
    <w:uiPriority w:val="99"/>
    <w:unhideWhenUsed/>
    <w:rsid w:val="003D1F23"/>
    <w:rPr>
      <w:sz w:val="18"/>
      <w:szCs w:val="18"/>
    </w:rPr>
  </w:style>
  <w:style w:type="paragraph" w:styleId="Kommentarthema">
    <w:name w:val="annotation subject"/>
    <w:basedOn w:val="Standard"/>
    <w:link w:val="KommentarthemaZchn"/>
    <w:uiPriority w:val="99"/>
    <w:unhideWhenUsed/>
    <w:rsid w:val="003D1F23"/>
    <w:rPr>
      <w:b/>
      <w:bCs/>
    </w:rPr>
  </w:style>
  <w:style w:type="character" w:customStyle="1" w:styleId="KommentarthemaZchn">
    <w:name w:val="Kommentarthema Zchn"/>
    <w:basedOn w:val="Absatz-Standardschriftart"/>
    <w:link w:val="Kommentarthema"/>
    <w:uiPriority w:val="99"/>
    <w:rsid w:val="003D1F23"/>
    <w:rPr>
      <w:rFonts w:ascii="Arial" w:eastAsiaTheme="minorEastAsia" w:hAnsi="Arial" w:cs="Times New Roman"/>
      <w:b/>
      <w:bCs/>
      <w:sz w:val="20"/>
      <w:szCs w:val="20"/>
    </w:rPr>
  </w:style>
  <w:style w:type="character" w:styleId="Hyperlink">
    <w:name w:val="Hyperlink"/>
    <w:basedOn w:val="Absatz-Standardschriftart"/>
    <w:uiPriority w:val="99"/>
    <w:unhideWhenUsed/>
    <w:rsid w:val="003D1F23"/>
    <w:rPr>
      <w:color w:val="0000FF" w:themeColor="hyperlink"/>
      <w:u w:val="single"/>
    </w:rPr>
  </w:style>
  <w:style w:type="character" w:styleId="BesuchterLink">
    <w:name w:val="FollowedHyperlink"/>
    <w:basedOn w:val="Absatz-Standardschriftart"/>
    <w:uiPriority w:val="99"/>
    <w:unhideWhenUsed/>
    <w:rsid w:val="003D1F23"/>
    <w:rPr>
      <w:color w:val="800080" w:themeColor="followedHyperlink"/>
      <w:u w:val="single"/>
    </w:rPr>
  </w:style>
  <w:style w:type="character" w:customStyle="1" w:styleId="berschrift2Zchn">
    <w:name w:val="Überschrift 2 Zchn"/>
    <w:basedOn w:val="Absatz-Standardschriftart"/>
    <w:link w:val="berschrift2"/>
    <w:uiPriority w:val="9"/>
    <w:rsid w:val="003D1F23"/>
    <w:rPr>
      <w:rFonts w:ascii="Arial" w:eastAsiaTheme="minorEastAsia" w:hAnsi="Arial" w:cs="Times New Roman"/>
      <w:b/>
      <w:caps/>
      <w:szCs w:val="26"/>
    </w:rPr>
  </w:style>
  <w:style w:type="character" w:customStyle="1" w:styleId="berschrift3Zchn">
    <w:name w:val="Überschrift 3 Zchn"/>
    <w:basedOn w:val="Absatz-Standardschriftart"/>
    <w:link w:val="berschrift3"/>
    <w:uiPriority w:val="9"/>
    <w:rsid w:val="003D1F23"/>
    <w:rPr>
      <w:rFonts w:ascii="Arial" w:eastAsiaTheme="minorEastAsia" w:hAnsi="Arial" w:cs="Times New Roman"/>
      <w:b/>
      <w:sz w:val="22"/>
    </w:rPr>
  </w:style>
  <w:style w:type="character" w:styleId="Seitenzahl">
    <w:name w:val="page number"/>
    <w:basedOn w:val="Absatz-Standardschriftart"/>
    <w:uiPriority w:val="99"/>
    <w:unhideWhenUsed/>
    <w:rsid w:val="003D1F23"/>
    <w:rPr>
      <w:b/>
    </w:rPr>
  </w:style>
  <w:style w:type="paragraph" w:styleId="berarbeitung">
    <w:name w:val="Revision"/>
    <w:hidden/>
    <w:uiPriority w:val="99"/>
    <w:semiHidden/>
    <w:rsid w:val="003D1F23"/>
    <w:rPr>
      <w:rFonts w:eastAsiaTheme="minorEastAsia"/>
      <w:sz w:val="21"/>
      <w:szCs w:val="21"/>
    </w:rPr>
  </w:style>
  <w:style w:type="paragraph" w:customStyle="1" w:styleId="BasicParagraph">
    <w:name w:val="[Basic Paragraph]"/>
    <w:basedOn w:val="Standard"/>
    <w:uiPriority w:val="99"/>
    <w:rsid w:val="003D1F23"/>
    <w:pPr>
      <w:widowControl w:val="0"/>
      <w:autoSpaceDE w:val="0"/>
      <w:autoSpaceDN w:val="0"/>
      <w:adjustRightInd w:val="0"/>
      <w:spacing w:after="0" w:line="288" w:lineRule="auto"/>
      <w:jc w:val="left"/>
      <w:textAlignment w:val="center"/>
    </w:pPr>
    <w:rPr>
      <w:rFonts w:ascii="Times-Roman" w:eastAsia="Cambria" w:hAnsi="Times-Roman" w:cs="Times-Roman"/>
      <w:color w:val="000000"/>
      <w:szCs w:val="24"/>
    </w:rPr>
  </w:style>
  <w:style w:type="paragraph" w:customStyle="1" w:styleId="H1">
    <w:name w:val="H1"/>
    <w:basedOn w:val="Standard"/>
    <w:link w:val="H1Char"/>
    <w:qFormat/>
    <w:rsid w:val="003D1F23"/>
    <w:pPr>
      <w:spacing w:before="360" w:after="240"/>
      <w:jc w:val="left"/>
      <w:outlineLvl w:val="0"/>
    </w:pPr>
    <w:rPr>
      <w:b/>
      <w:sz w:val="40"/>
      <w:szCs w:val="52"/>
    </w:rPr>
  </w:style>
  <w:style w:type="paragraph" w:customStyle="1" w:styleId="Bullet1">
    <w:name w:val="Bullet 1"/>
    <w:basedOn w:val="Standard"/>
    <w:rsid w:val="003D1F23"/>
    <w:pPr>
      <w:numPr>
        <w:numId w:val="3"/>
      </w:numPr>
      <w:spacing w:before="60"/>
    </w:pPr>
    <w:rPr>
      <w:rFonts w:eastAsia="Times New Roman"/>
      <w:color w:val="000000"/>
    </w:rPr>
  </w:style>
  <w:style w:type="paragraph" w:customStyle="1" w:styleId="RefItem1">
    <w:name w:val="Ref Item 1"/>
    <w:basedOn w:val="Standard"/>
    <w:rsid w:val="003D1F23"/>
    <w:pPr>
      <w:jc w:val="left"/>
    </w:pPr>
    <w:rPr>
      <w:color w:val="000000"/>
      <w:szCs w:val="24"/>
      <w:lang w:eastAsia="it-IT"/>
    </w:rPr>
  </w:style>
  <w:style w:type="paragraph" w:customStyle="1" w:styleId="RefTitre">
    <w:name w:val="Ref Titre"/>
    <w:basedOn w:val="Standard"/>
    <w:rsid w:val="003D1F23"/>
    <w:pPr>
      <w:jc w:val="left"/>
    </w:pPr>
    <w:rPr>
      <w:rFonts w:eastAsia="Times New Roman"/>
      <w:b/>
      <w:bCs/>
      <w:sz w:val="26"/>
      <w:szCs w:val="26"/>
    </w:rPr>
  </w:style>
  <w:style w:type="paragraph" w:customStyle="1" w:styleId="Header1">
    <w:name w:val="Header 1"/>
    <w:basedOn w:val="Kopfzeile"/>
    <w:rsid w:val="003D1F23"/>
    <w:rPr>
      <w:b/>
      <w:sz w:val="24"/>
      <w:szCs w:val="24"/>
    </w:rPr>
  </w:style>
  <w:style w:type="character" w:customStyle="1" w:styleId="Pantone485">
    <w:name w:val="Pantone 485"/>
    <w:basedOn w:val="Absatz-Standardschriftart"/>
    <w:uiPriority w:val="1"/>
    <w:qFormat/>
    <w:rsid w:val="003D1F23"/>
    <w:rPr>
      <w:rFonts w:cs="Caecilia-Light"/>
      <w:color w:val="DC281E"/>
      <w:szCs w:val="16"/>
    </w:rPr>
  </w:style>
  <w:style w:type="character" w:customStyle="1" w:styleId="H1Char">
    <w:name w:val="H1 Char"/>
    <w:basedOn w:val="Absatz-Standardschriftart"/>
    <w:link w:val="H1"/>
    <w:rsid w:val="003D1F23"/>
    <w:rPr>
      <w:rFonts w:ascii="Arial" w:eastAsiaTheme="minorEastAsia" w:hAnsi="Arial" w:cs="Times New Roman"/>
      <w:b/>
      <w:sz w:val="40"/>
      <w:szCs w:val="52"/>
    </w:rPr>
  </w:style>
  <w:style w:type="table" w:customStyle="1" w:styleId="TableGray">
    <w:name w:val="Table Gray"/>
    <w:basedOn w:val="NormaleTabelle"/>
    <w:uiPriority w:val="99"/>
    <w:rsid w:val="003D1F23"/>
    <w:rPr>
      <w:rFonts w:eastAsiaTheme="minorEastAsia" w:cs="Times New Roman"/>
    </w:rPr>
    <w:tblPr>
      <w:tblCellMar>
        <w:top w:w="142" w:type="dxa"/>
        <w:left w:w="142" w:type="dxa"/>
        <w:bottom w:w="142" w:type="dxa"/>
        <w:right w:w="142" w:type="dxa"/>
      </w:tblCellMar>
    </w:tblPr>
    <w:tcPr>
      <w:shd w:val="clear" w:color="auto" w:fill="D9D9D9" w:themeFill="background1" w:themeFillShade="D9"/>
    </w:tcPr>
  </w:style>
  <w:style w:type="paragraph" w:customStyle="1" w:styleId="Bullet2">
    <w:name w:val="Bullet 2"/>
    <w:basedOn w:val="Listenabsatz"/>
    <w:rsid w:val="003D1F23"/>
    <w:pPr>
      <w:tabs>
        <w:tab w:val="num" w:pos="720"/>
        <w:tab w:val="left" w:pos="7230"/>
      </w:tabs>
      <w:spacing w:before="120" w:after="120"/>
      <w:ind w:hanging="720"/>
      <w:contextualSpacing w:val="0"/>
    </w:pPr>
    <w:rPr>
      <w:rFonts w:cs="Arial"/>
    </w:rPr>
  </w:style>
  <w:style w:type="paragraph" w:customStyle="1" w:styleId="ListNumber1">
    <w:name w:val="List Number 1"/>
    <w:basedOn w:val="Standard"/>
    <w:rsid w:val="003D1F23"/>
    <w:pPr>
      <w:numPr>
        <w:ilvl w:val="1"/>
        <w:numId w:val="5"/>
      </w:numPr>
      <w:contextualSpacing/>
    </w:pPr>
    <w:rPr>
      <w:rFonts w:eastAsiaTheme="minorHAnsi" w:cstheme="minorHAnsi"/>
      <w:szCs w:val="22"/>
    </w:rPr>
  </w:style>
  <w:style w:type="paragraph" w:customStyle="1" w:styleId="NormalNo">
    <w:name w:val="Normal + No"/>
    <w:basedOn w:val="Standard"/>
    <w:qFormat/>
    <w:rsid w:val="003D1F23"/>
    <w:pPr>
      <w:tabs>
        <w:tab w:val="num" w:pos="720"/>
      </w:tabs>
      <w:ind w:left="720" w:hanging="720"/>
    </w:pPr>
    <w:rPr>
      <w:rFonts w:eastAsia="MS Mincho"/>
      <w:b/>
      <w:sz w:val="22"/>
    </w:rPr>
  </w:style>
  <w:style w:type="paragraph" w:customStyle="1" w:styleId="Bullet3">
    <w:name w:val="Bullet 3"/>
    <w:basedOn w:val="Listenabsatz"/>
    <w:qFormat/>
    <w:rsid w:val="003D1F23"/>
    <w:pPr>
      <w:tabs>
        <w:tab w:val="num" w:pos="720"/>
      </w:tabs>
      <w:spacing w:before="120" w:after="120"/>
      <w:ind w:right="425" w:hanging="720"/>
    </w:pPr>
    <w:rPr>
      <w:rFonts w:cs="Arial"/>
      <w:i/>
      <w:iCs/>
    </w:rPr>
  </w:style>
  <w:style w:type="paragraph" w:customStyle="1" w:styleId="Indent">
    <w:name w:val="Indent"/>
    <w:basedOn w:val="Standard"/>
    <w:qFormat/>
    <w:rsid w:val="003D1F23"/>
    <w:pPr>
      <w:ind w:left="567"/>
    </w:pPr>
    <w:rPr>
      <w:rFonts w:cs="Arial"/>
      <w:b/>
    </w:rPr>
  </w:style>
  <w:style w:type="paragraph" w:customStyle="1" w:styleId="TitreTableau">
    <w:name w:val="Titre Tableau"/>
    <w:basedOn w:val="Standard"/>
    <w:qFormat/>
    <w:rsid w:val="003D1F23"/>
    <w:pPr>
      <w:spacing w:before="120"/>
      <w:jc w:val="center"/>
    </w:pPr>
    <w:rPr>
      <w:rFonts w:cs="Arial"/>
      <w:b/>
      <w:bCs/>
      <w:color w:val="FFFFFF" w:themeColor="background1"/>
      <w:lang w:val="en-CA"/>
    </w:rPr>
  </w:style>
  <w:style w:type="paragraph" w:customStyle="1" w:styleId="BulletTableau">
    <w:name w:val="Bullet Tableau"/>
    <w:basedOn w:val="Bullet2"/>
    <w:qFormat/>
    <w:rsid w:val="003D1F23"/>
    <w:pPr>
      <w:keepNext/>
      <w:keepLines/>
      <w:framePr w:hSpace="141" w:wrap="around" w:vAnchor="text" w:hAnchor="margin" w:y="402"/>
      <w:spacing w:beforeLines="60" w:before="60" w:afterLines="20" w:after="20"/>
    </w:p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rPr>
      <w:rFonts w:ascii="Cambria" w:eastAsia="Cambria" w:hAnsi="Cambria" w:cs="Cambria"/>
    </w:rPr>
    <w:tblPr>
      <w:tblStyleRowBandSize w:val="1"/>
      <w:tblStyleColBandSize w:val="1"/>
      <w:tblCellMar>
        <w:left w:w="115" w:type="dxa"/>
        <w:right w:w="115" w:type="dxa"/>
      </w:tblCellMar>
    </w:tblPr>
    <w:tcPr>
      <w:shd w:val="clear" w:color="auto" w:fill="D9D9D9"/>
    </w:tcPr>
  </w:style>
  <w:style w:type="table" w:customStyle="1" w:styleId="a0">
    <w:basedOn w:val="NormaleTabelle"/>
    <w:rPr>
      <w:rFonts w:ascii="Cambria" w:eastAsia="Cambria" w:hAnsi="Cambria" w:cs="Cambria"/>
    </w:rPr>
    <w:tblPr>
      <w:tblStyleRowBandSize w:val="1"/>
      <w:tblStyleColBandSize w:val="1"/>
      <w:tblCellMar>
        <w:left w:w="115" w:type="dxa"/>
        <w:right w:w="115" w:type="dxa"/>
      </w:tblCellMar>
    </w:tblPr>
    <w:tcPr>
      <w:shd w:val="clear" w:color="auto" w:fill="D9D9D9"/>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cash-hub.org/-/media/cashhub-documents/guidance-and-tools/programme-guidance/rcrcm-ram_en.pdf?la=en&amp;hash=BE9D8F519277FC374FDBE4CF4A69ED375B6C735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ash-hub.org/-/media/cashhub-documents/guidance-and-tools/programme-guidance/rcrcm-ram_en.pdf?la=en&amp;hash=BE9D8F519277FC374FDBE4CF4A69ED375B6C735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ma-toolkit.org/" TargetMode="External"/><Relationship Id="rId5" Type="http://schemas.openxmlformats.org/officeDocument/2006/relationships/webSettings" Target="webSettings.xml"/><Relationship Id="rId15" Type="http://schemas.openxmlformats.org/officeDocument/2006/relationships/hyperlink" Target="https://www.cash-hub.org/-/media/cashhub-documents/guidance-and-tools/programme-guidance/rcrcm-ram_en.pdf?la=en&amp;hash=BE9D8F519277FC374FDBE4CF4A69ED375B6C7359" TargetMode="External"/><Relationship Id="rId10" Type="http://schemas.openxmlformats.org/officeDocument/2006/relationships/hyperlink" Target="https://www.icrc.org/en/doc/assets/files/publications/icrc-002-4200.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ash-hub.org/-/media/cashhub-documents/guidance-and-tools/programme-guidance/rcrcm-ram_en.pdf?la=en&amp;hash=BE9D8F519277FC374FDBE4CF4A69ED375B6C7359" TargetMode="External"/><Relationship Id="rId14" Type="http://schemas.openxmlformats.org/officeDocument/2006/relationships/hyperlink" Target="https://www.cash-hub.org/-/media/cashhub-documents/guidance-and-tools/cash-in-emergency-toolkit/assessment/rapid-market-assessment/3_3_1-conclusion-tree-to-assess-market-response-capacity.doc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fge627UgLHn2/6KpGfW6lXkOiA==">AMUW2mW59nfsd8HwkDGY/WGgoa00Sq5dKmudxdAY/dt9b0EF7CKvLohM0se/ztkQAJ/+VBCqz+tS83ZcnhivX25m+5vuH/ULY25m3XV06RBWqTpj8vENhZYrkpKONQTRAT0kM6YxVZJVvrPUXAt6tFkr5OjzdF1+1LfAHF+Z5YkE8qxNLBM9WYJBHBoly53eVtgSXXcsK51md4tKwhnNlwD0s5KS7m6UkapC0WHoAMRJDC5AgSVwr2eksBzhSoprsJ/eEjKchO/bV7rl6Niz52xTkxGqi2Rwb+/QasWUS2lbmKD297zn3RBysd9MH4nb0q0mh+jQYCHfrg4ylTRq7MCoGLvP8W/XV9iXojMJywbiI/VvGfw/A6G/OKiiCIZcdpPaOOReEXX/GkLQf93J41HfsE8AtxWxtK87wNKodTRkX7gzOqRpNZ/30czvGMk7FCplYw2yHGxb/mkJi//BIP+8bAQu19GqDUK5zakohJ2OvX7b7WaWtH6mVS3v9Ig5D4pyH4OIcW+81xxluaz7DzXQDBtoiFNam51yUw5PYBjv1nLSklfElooyoHYA6CMBsGk04IbZmflgMoQKC9WeyKjGUqAlqTZ30yg0XDRE8FHarzY7uhXprPq3ZCldOBfs7M3U2kA7/kVcIZvzo8ttkIKiMILpJXGMD2lNn+prt2lYUKYOSkoMa8LtSDwnm//YBERf19CDNgrVti6S1ic/YpPiE1cne0YuuEyipnzrCCjtvFIJsNbvlzYlH81qT7/On8dZ9tlWKERkA4NrMgRA15gb/gLA7S9qfI0xmpZqBXTh6xWLtuPV9qFnMXcmVD+rU4ZaJ32I51ztsB24ewmBwPqtw09YNVdhsUGdic51uiora+5SAJmF6H05T/bWTnah18zN3pNvyOQEuoS2U678wtK/seK1ie1zjz+uTPAv/dhcPYE8IUbOFpCJJytcVc79Yg+9GEWPRof95B7X1Atau2MrHn1hSJF1mOxlGJpY5MUAAywk3mLqOsjckhEItJVwuFmhSvea4myJjxidZvtLPkdOwNETWTqaTpmz5rmk2fQA1RS6IdUqVCNjwNblSSFMz+0SufTlLWhhOdThzHeIIzqUGLfXtoLXEmaJ8OyYE8MgZ5WOEeTiR22m5e5F7Fk8XAibo0vZXnbVGvUSoUf/rEkRFOUyXYuahGOh3+Z2vnKw82DMGOKUHwmwmGEtIMxqSn/8ykK2TObkM724ayAMFvXMHFiyzp4S5xAB7/8X9qZpRZnJdSEg3vQ3YDIisdotoJl2GgbdLl24t8X40kN5vXD5wKaFleVexUo52g3v2UQxLzbuNI9IVWKBeDUmdbmgCDhPnNCN1OGQcxdORlNtQam+DJUYRC+mvmblukaxE7gre1Vlt+iQsMLr7sZO1MaDhVuQ+rlZjLOH2ZXpragiRyjpg6UWFBbRCKp068+7Wp9mMqZN9NFnP1hNyQ3qyoZqZXrebi1XbsjETkIJb90RVIEISocSb3IEz4HKnbMlIY0VDjq8vl19Yt18Klalo9X+K+fAkyVblcSi0//LntUp/3O2Qso1Om979Hw1/+nd37vad8kO5AeWCgZdlWIgiDN/LguszEMtYZgzlAjnNAUbQbIg/G8EBC/JcrDETjbPFCxCXQU4GArbyS+W/XnC69qhP1KvgwXFPz1VZ3GuCSGyBsNPs+a9SGvddJT1bMtcxxCWPBzgBbOYBRSSxRCd/UJrFB89YyKb9bKDEF2RxmQXddqDGRsYS4i5xYoAj+SH/CW1ASEPr4BELKGFqjbtqjCAsLM4vXMGvw0v1ftXy2n+H68Hs8sU6qrvr5hsiq7eVyTqFlU/tTFfh0lCh6pKSBbl7t1ZRJ6juGfMPBSNzeMr8JFL66Ys5UGh+yqViaAYtWJSPBF9zx7eTgY+qv7RRiY6DoIsEVdb+hgHShV3HMBLEsvnL5uXoY26BY5+Ctd1l31RBKGYwNfN0F26pt7gnYp4DALxpYWN4Ob6EfexzW74ZuHaTJb4at6oCeneeXX3L95GzWzfDzaqDgafntwG8a67G2+FJjkraOT6h+EbxNvrb+UfQbEhBRqH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C219C0AD</Template>
  <TotalTime>0</TotalTime>
  <Pages>3</Pages>
  <Words>1166</Words>
  <Characters>7351</Characters>
  <Application>Microsoft Office Word</Application>
  <DocSecurity>0</DocSecurity>
  <Lines>61</Lines>
  <Paragraphs>16</Paragraphs>
  <ScaleCrop>false</ScaleCrop>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Creti Pantaleo</dc:creator>
  <cp:lastModifiedBy>Franziska Waldvogel</cp:lastModifiedBy>
  <cp:revision>2</cp:revision>
  <dcterms:created xsi:type="dcterms:W3CDTF">2020-02-12T14:25:00Z</dcterms:created>
  <dcterms:modified xsi:type="dcterms:W3CDTF">2020-02-12T14:25:00Z</dcterms:modified>
</cp:coreProperties>
</file>